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B3C5EF" w14:textId="60F04BA3" w:rsidR="00B664AD" w:rsidRDefault="005078CE" w:rsidP="007D7981">
      <w:pPr>
        <w:jc w:val="center"/>
        <w:rPr>
          <w:rFonts w:ascii="Cambria" w:hAnsi="Cambria" w:cs="Times New Roman"/>
          <w:b/>
          <w:bCs/>
          <w:sz w:val="28"/>
          <w:szCs w:val="28"/>
        </w:rPr>
      </w:pPr>
      <w:r w:rsidRPr="007D7981">
        <w:rPr>
          <w:rFonts w:ascii="Cambria" w:hAnsi="Cambria" w:cs="Times New Roman"/>
          <w:b/>
          <w:bCs/>
          <w:sz w:val="28"/>
          <w:szCs w:val="28"/>
        </w:rPr>
        <w:t>Non-communicable diseases assignment</w:t>
      </w:r>
    </w:p>
    <w:p w14:paraId="7D928560" w14:textId="77777777" w:rsidR="007D7981" w:rsidRPr="007D7981" w:rsidRDefault="007D7981" w:rsidP="007D7981">
      <w:pPr>
        <w:jc w:val="center"/>
        <w:rPr>
          <w:rFonts w:ascii="Cambria" w:hAnsi="Cambria" w:cs="Times New Roman"/>
          <w:b/>
          <w:bCs/>
          <w:sz w:val="28"/>
          <w:szCs w:val="28"/>
        </w:rPr>
      </w:pPr>
    </w:p>
    <w:p w14:paraId="27E9CE40" w14:textId="57C839CB" w:rsidR="005078CE" w:rsidRPr="007D7981" w:rsidRDefault="005078CE" w:rsidP="005078CE">
      <w:pPr>
        <w:pStyle w:val="ListParagraph"/>
        <w:numPr>
          <w:ilvl w:val="0"/>
          <w:numId w:val="1"/>
        </w:numPr>
        <w:rPr>
          <w:rFonts w:ascii="Times New Roman" w:hAnsi="Times New Roman" w:cs="Times New Roman"/>
          <w:b/>
          <w:bCs/>
          <w:sz w:val="24"/>
          <w:szCs w:val="24"/>
        </w:rPr>
      </w:pPr>
      <w:r w:rsidRPr="007D7981">
        <w:rPr>
          <w:rFonts w:ascii="Times New Roman" w:hAnsi="Times New Roman" w:cs="Times New Roman"/>
          <w:b/>
          <w:bCs/>
          <w:sz w:val="24"/>
          <w:szCs w:val="24"/>
        </w:rPr>
        <w:t>Define the term “non-communicable diseases” (NCD).</w:t>
      </w:r>
    </w:p>
    <w:p w14:paraId="375E02E7" w14:textId="208C857A" w:rsidR="005078CE" w:rsidRPr="007D7981" w:rsidRDefault="005078CE"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 xml:space="preserve">Non-communicable diseases (NCD) are medical conditions or diseases that are non-infectious and non-transmissible among people </w:t>
      </w:r>
      <w:r w:rsidRPr="007D7981">
        <w:rPr>
          <w:rFonts w:ascii="Times New Roman" w:hAnsi="Times New Roman" w:cs="Times New Roman"/>
          <w:sz w:val="24"/>
          <w:szCs w:val="24"/>
        </w:rPr>
        <w:fldChar w:fldCharType="begin"/>
      </w:r>
      <w:r w:rsidRPr="007D7981">
        <w:rPr>
          <w:rFonts w:ascii="Times New Roman" w:hAnsi="Times New Roman" w:cs="Times New Roman"/>
          <w:sz w:val="24"/>
          <w:szCs w:val="24"/>
        </w:rPr>
        <w:instrText xml:space="preserve"> ADDIN ZOTERO_ITEM CSL_CITATION {"citationID":"o9eOTANA","properties":{"formattedCitation":"(Kim and Oh, 2013)","plainCitation":"(Kim and Oh, 2013)","noteIndex":0},"citationItems":[{"id":257,"uris":["http://zotero.org/users/local/BHqQW73s/items/5I5PKF5Z"],"uri":["http://zotero.org/users/local/BHqQW73s/items/5I5PKF5Z"],"itemData":{"id":257,"type":"article-journal","title":"Noncommunicable diseases: current status of major modifiable risk factors in Korea","container-title":"Journal of Preventive Medicine and Public Health = Yebang Uihakhoe Chi","page":"165-172","volume":"46","issue":"4","source":"PubMed","abstract":"A noncommunicable disease (NCD) is a medical condition or disease that is by definition non-infectious and non-transmissible among people. Currently, NCDs are the leading causes of death and disease burden worldwide. The four main types of NCDs, including cardiovascular disease, cancer, chronic lung disease, and diabetes, result in more than 30 million deaths annually. To reduce the burden of NCDs on global health, current public health actions stress the importance of preventing, detecting, and correcting modifiable risk factors; controlling major modifiable risk factors has been shown to effectively reduce NCD mortality. The World Health Organization's World Health Report 2002 identified tobacco use, alcohol consumption, overweight, physical inactivity, high blood pressure, and high cholesterol as the most important risk factors for NCDs. Accordingly, the present report set out to review the prevalence and trends of these modifiable risk factors in the Korean population. Over the past few decades, we observed significant risk factor modifications of improved blood pressure control and decreased smoking rate. However, hypertension and cigarette smoking remained the most contributable factors of NCDs in the Korean population. Moreover, other major modifiable risk factors show no improvement or even worsened. The current status and trends in major modifiable risk factors reinforce the importance of prevention, detection, and treatment of risk factors in reducing the burden of NCDs on individuals and society.","DOI":"10.3961/jpmph.2013.46.4.165","ISSN":"2233-4521","note":"PMID: 23946874\nPMCID: PMC3740221","title-short":"Noncommunicable diseases","journalAbbreviation":"J Prev Med Public Health","language":"eng","author":[{"family":"Kim","given":"Hyeon Chang"},{"family":"Oh","given":"Sun Min"}],"issued":{"date-parts":[["2013",7]]}}}],"schema":"https://github.com/citation-style-language/schema/raw/master/csl-citation.json"} </w:instrText>
      </w:r>
      <w:r w:rsidRPr="007D7981">
        <w:rPr>
          <w:rFonts w:ascii="Times New Roman" w:hAnsi="Times New Roman" w:cs="Times New Roman"/>
          <w:sz w:val="24"/>
          <w:szCs w:val="24"/>
        </w:rPr>
        <w:fldChar w:fldCharType="separate"/>
      </w:r>
      <w:r w:rsidRPr="007D7981">
        <w:rPr>
          <w:rFonts w:ascii="Times New Roman" w:hAnsi="Times New Roman" w:cs="Times New Roman"/>
          <w:sz w:val="24"/>
          <w:szCs w:val="24"/>
        </w:rPr>
        <w:t>(Kim and Oh, 2013)</w:t>
      </w:r>
      <w:r w:rsidRPr="007D7981">
        <w:rPr>
          <w:rFonts w:ascii="Times New Roman" w:hAnsi="Times New Roman" w:cs="Times New Roman"/>
          <w:sz w:val="24"/>
          <w:szCs w:val="24"/>
        </w:rPr>
        <w:fldChar w:fldCharType="end"/>
      </w:r>
      <w:r w:rsidRPr="007D7981">
        <w:rPr>
          <w:rFonts w:ascii="Times New Roman" w:hAnsi="Times New Roman" w:cs="Times New Roman"/>
          <w:sz w:val="24"/>
          <w:szCs w:val="24"/>
        </w:rPr>
        <w:t>. They are characterised by chronicity, tend to be of long duration and are the result of a combination of genetic, physiological, environmental and behaviours factors (WHO, 2018).</w:t>
      </w:r>
    </w:p>
    <w:p w14:paraId="49E94FB8" w14:textId="05DBCF8B" w:rsidR="005078CE" w:rsidRPr="007D7981" w:rsidRDefault="005078CE" w:rsidP="005078CE">
      <w:pPr>
        <w:rPr>
          <w:rFonts w:ascii="Times New Roman" w:hAnsi="Times New Roman" w:cs="Times New Roman"/>
          <w:sz w:val="24"/>
          <w:szCs w:val="24"/>
        </w:rPr>
      </w:pPr>
      <w:r w:rsidRPr="007D7981">
        <w:rPr>
          <w:rFonts w:ascii="Times New Roman" w:hAnsi="Times New Roman" w:cs="Times New Roman"/>
          <w:sz w:val="24"/>
          <w:szCs w:val="24"/>
        </w:rPr>
        <w:t>World Health Organization (WHO). Non-communicable diseases. Accessed 30</w:t>
      </w:r>
      <w:r w:rsidRPr="007D7981">
        <w:rPr>
          <w:rFonts w:ascii="Times New Roman" w:hAnsi="Times New Roman" w:cs="Times New Roman"/>
          <w:sz w:val="24"/>
          <w:szCs w:val="24"/>
          <w:vertAlign w:val="superscript"/>
        </w:rPr>
        <w:t>th</w:t>
      </w:r>
      <w:r w:rsidRPr="007D7981">
        <w:rPr>
          <w:rFonts w:ascii="Times New Roman" w:hAnsi="Times New Roman" w:cs="Times New Roman"/>
          <w:sz w:val="24"/>
          <w:szCs w:val="24"/>
        </w:rPr>
        <w:t xml:space="preserve"> November 2019. </w:t>
      </w:r>
      <w:hyperlink r:id="rId5" w:history="1">
        <w:r w:rsidRPr="007D7981">
          <w:rPr>
            <w:rStyle w:val="Hyperlink"/>
            <w:rFonts w:ascii="Times New Roman" w:hAnsi="Times New Roman" w:cs="Times New Roman"/>
            <w:sz w:val="24"/>
            <w:szCs w:val="24"/>
          </w:rPr>
          <w:t>https://www.who.int/news-room/fact-sheets/detail/noncommunicable-diseases</w:t>
        </w:r>
      </w:hyperlink>
    </w:p>
    <w:p w14:paraId="5CB5ABAF" w14:textId="77777777" w:rsidR="006C347F" w:rsidRPr="007D7981" w:rsidRDefault="006C347F" w:rsidP="005078CE">
      <w:pPr>
        <w:rPr>
          <w:rFonts w:ascii="Times New Roman" w:hAnsi="Times New Roman" w:cs="Times New Roman"/>
          <w:b/>
          <w:bCs/>
          <w:sz w:val="24"/>
          <w:szCs w:val="24"/>
        </w:rPr>
      </w:pPr>
    </w:p>
    <w:p w14:paraId="7642D240" w14:textId="5180F321" w:rsidR="005078CE" w:rsidRDefault="005078CE" w:rsidP="005078CE">
      <w:pPr>
        <w:pStyle w:val="ListParagraph"/>
        <w:numPr>
          <w:ilvl w:val="0"/>
          <w:numId w:val="1"/>
        </w:numPr>
        <w:rPr>
          <w:rFonts w:ascii="Times New Roman" w:hAnsi="Times New Roman" w:cs="Times New Roman"/>
          <w:b/>
          <w:bCs/>
          <w:sz w:val="24"/>
          <w:szCs w:val="24"/>
        </w:rPr>
      </w:pPr>
      <w:r w:rsidRPr="007D7981">
        <w:rPr>
          <w:rFonts w:ascii="Times New Roman" w:hAnsi="Times New Roman" w:cs="Times New Roman"/>
          <w:b/>
          <w:bCs/>
          <w:sz w:val="24"/>
          <w:szCs w:val="24"/>
        </w:rPr>
        <w:t>Classification of non-communicable diseases (NCDs).</w:t>
      </w:r>
    </w:p>
    <w:p w14:paraId="5AFC1B38" w14:textId="77777777" w:rsidR="007D7981" w:rsidRPr="007D7981" w:rsidRDefault="007D7981" w:rsidP="007D7981">
      <w:pPr>
        <w:pStyle w:val="ListParagraph"/>
        <w:rPr>
          <w:rFonts w:ascii="Times New Roman" w:hAnsi="Times New Roman" w:cs="Times New Roman"/>
          <w:b/>
          <w:bCs/>
          <w:sz w:val="24"/>
          <w:szCs w:val="24"/>
        </w:rPr>
      </w:pPr>
    </w:p>
    <w:p w14:paraId="049E84D3" w14:textId="4F3CAB3B" w:rsidR="006C347F" w:rsidRPr="007D7981" w:rsidRDefault="005078CE" w:rsidP="007D7981">
      <w:pPr>
        <w:pStyle w:val="ListParagraph"/>
        <w:numPr>
          <w:ilvl w:val="0"/>
          <w:numId w:val="2"/>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Cardiovascular diseases (CVDs)</w:t>
      </w:r>
    </w:p>
    <w:p w14:paraId="6581DD4F" w14:textId="21ADEC50" w:rsidR="006C347F" w:rsidRPr="007D7981" w:rsidRDefault="006C347F" w:rsidP="007D7981">
      <w:pPr>
        <w:pStyle w:val="ListParagraph"/>
        <w:numPr>
          <w:ilvl w:val="1"/>
          <w:numId w:val="2"/>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Hypertension, cerebrovascular accidents (strokes and transient ischemic attacks), coronary artery diseases, peripheral artery diseases and heart failure.</w:t>
      </w:r>
    </w:p>
    <w:p w14:paraId="284F8185" w14:textId="31E04ADB" w:rsidR="006C347F" w:rsidRPr="007D7981" w:rsidRDefault="006C347F" w:rsidP="007D7981">
      <w:pPr>
        <w:pStyle w:val="ListParagraph"/>
        <w:numPr>
          <w:ilvl w:val="0"/>
          <w:numId w:val="2"/>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Chronic respiratory diseases (CRDs)</w:t>
      </w:r>
    </w:p>
    <w:p w14:paraId="04A47905" w14:textId="62CE2D13" w:rsidR="006C347F" w:rsidRPr="007D7981" w:rsidRDefault="006C347F" w:rsidP="007D7981">
      <w:pPr>
        <w:pStyle w:val="ListParagraph"/>
        <w:numPr>
          <w:ilvl w:val="1"/>
          <w:numId w:val="2"/>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Chronic bronchitis, emphysema, bronchiectasis and asthma.</w:t>
      </w:r>
    </w:p>
    <w:p w14:paraId="1AA40B98" w14:textId="0523A892" w:rsidR="006C347F" w:rsidRPr="007D7981" w:rsidRDefault="006C347F" w:rsidP="007D7981">
      <w:pPr>
        <w:pStyle w:val="ListParagraph"/>
        <w:numPr>
          <w:ilvl w:val="0"/>
          <w:numId w:val="2"/>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Cancers</w:t>
      </w:r>
    </w:p>
    <w:p w14:paraId="4406A2BC" w14:textId="68A2DE99" w:rsidR="006C347F" w:rsidRPr="007D7981" w:rsidRDefault="006C347F" w:rsidP="007D7981">
      <w:pPr>
        <w:pStyle w:val="ListParagraph"/>
        <w:numPr>
          <w:ilvl w:val="1"/>
          <w:numId w:val="2"/>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Lung, breast, prostate, oesophageal, colorectal, skin, renal and gastric cancer.</w:t>
      </w:r>
    </w:p>
    <w:p w14:paraId="12A51AD4" w14:textId="46F01BAF" w:rsidR="006C347F" w:rsidRPr="007D7981" w:rsidRDefault="006C347F" w:rsidP="007D7981">
      <w:pPr>
        <w:pStyle w:val="ListParagraph"/>
        <w:numPr>
          <w:ilvl w:val="0"/>
          <w:numId w:val="2"/>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Renal diseases</w:t>
      </w:r>
    </w:p>
    <w:p w14:paraId="0462EA23" w14:textId="2F502FF3" w:rsidR="006C347F" w:rsidRPr="007D7981" w:rsidRDefault="006C347F" w:rsidP="007D7981">
      <w:pPr>
        <w:pStyle w:val="ListParagraph"/>
        <w:numPr>
          <w:ilvl w:val="1"/>
          <w:numId w:val="2"/>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Diabetic nephropathy, hypertensive nephropathy, chronic kidney disease (CKD) and end-stage renal failure (ESRF).</w:t>
      </w:r>
    </w:p>
    <w:p w14:paraId="324C3999" w14:textId="239FFB04" w:rsidR="006C347F" w:rsidRPr="007D7981" w:rsidRDefault="006C347F" w:rsidP="007D7981">
      <w:pPr>
        <w:pStyle w:val="ListParagraph"/>
        <w:numPr>
          <w:ilvl w:val="0"/>
          <w:numId w:val="2"/>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Diabetes</w:t>
      </w:r>
    </w:p>
    <w:p w14:paraId="4B6D83B9" w14:textId="124D9A72" w:rsidR="006C347F" w:rsidRPr="007D7981" w:rsidRDefault="006C347F" w:rsidP="007D7981">
      <w:pPr>
        <w:pStyle w:val="ListParagraph"/>
        <w:numPr>
          <w:ilvl w:val="1"/>
          <w:numId w:val="2"/>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Type I, II, III and IV diabetes.</w:t>
      </w:r>
    </w:p>
    <w:p w14:paraId="462AB5A5" w14:textId="7C8FD664" w:rsidR="006C347F" w:rsidRPr="007D7981" w:rsidRDefault="006C347F" w:rsidP="006C347F">
      <w:pPr>
        <w:rPr>
          <w:rFonts w:ascii="Times New Roman" w:hAnsi="Times New Roman" w:cs="Times New Roman"/>
          <w:sz w:val="24"/>
          <w:szCs w:val="24"/>
        </w:rPr>
      </w:pPr>
      <w:r w:rsidRPr="007D7981">
        <w:rPr>
          <w:rFonts w:ascii="Times New Roman" w:hAnsi="Times New Roman" w:cs="Times New Roman"/>
          <w:sz w:val="24"/>
          <w:szCs w:val="24"/>
        </w:rPr>
        <w:t xml:space="preserve">Reference: </w:t>
      </w:r>
      <w:r w:rsidRPr="007D7981">
        <w:rPr>
          <w:rFonts w:ascii="Times New Roman" w:hAnsi="Times New Roman" w:cs="Times New Roman"/>
          <w:sz w:val="24"/>
          <w:szCs w:val="24"/>
        </w:rPr>
        <w:fldChar w:fldCharType="begin"/>
      </w:r>
      <w:r w:rsidRPr="007D7981">
        <w:rPr>
          <w:rFonts w:ascii="Times New Roman" w:hAnsi="Times New Roman" w:cs="Times New Roman"/>
          <w:sz w:val="24"/>
          <w:szCs w:val="24"/>
        </w:rPr>
        <w:instrText xml:space="preserve"> ADDIN ZOTERO_ITEM CSL_CITATION {"citationID":"a8DptwTb","properties":{"formattedCitation":"(Ryan et al., 2015)","plainCitation":"(Ryan et al., 2015)","noteIndex":0},"citationItems":[{"id":262,"uris":["http://zotero.org/users/local/BHqQW73s/items/JIV5WAFZ"],"uri":["http://zotero.org/users/local/BHqQW73s/items/JIV5WAFZ"],"itemData":{"id":262,"type":"article-journal","title":"Identifying and Describing the Impact of Cyclone, Storm and Flood Related Disasters on Treatment Management, Care and Exacerbations of Non-communicable Diseases and the Implications for Public Health","container-title":"PLOS Currents Disasters","source":"currents.plos.org","URL":"index.html%3Fp=25305.html","DOI":"10.1371/currents.dis.62e9286d152de04799644dcca47d9288","ISSN":"2157-3999","journalAbbreviation":"PLoS Curr","language":"English","author":[{"family":"Ryan","given":"Benjamin"},{"family":"Franklin","given":"Richard C."},{"family":"Jr","given":"Frederick M. Burkle"},{"family":"Aitken","given":"Peter"},{"family":"Smith","given":"Erin"},{"family":"Watt","given":"Kerrianne"},{"family":"Leggat","given":"Peter"}],"issued":{"date-parts":[["2015",9,28]]},"accessed":{"date-parts":[["2019",11,30]]}}}],"schema":"https://github.com/citation-style-language/schema/raw/master/csl-citation.json"} </w:instrText>
      </w:r>
      <w:r w:rsidRPr="007D7981">
        <w:rPr>
          <w:rFonts w:ascii="Times New Roman" w:hAnsi="Times New Roman" w:cs="Times New Roman"/>
          <w:sz w:val="24"/>
          <w:szCs w:val="24"/>
        </w:rPr>
        <w:fldChar w:fldCharType="separate"/>
      </w:r>
      <w:r w:rsidRPr="007D7981">
        <w:rPr>
          <w:rFonts w:ascii="Times New Roman" w:hAnsi="Times New Roman" w:cs="Times New Roman"/>
          <w:sz w:val="24"/>
          <w:szCs w:val="24"/>
        </w:rPr>
        <w:t>(Ryan et al., 2015)</w:t>
      </w:r>
      <w:r w:rsidRPr="007D7981">
        <w:rPr>
          <w:rFonts w:ascii="Times New Roman" w:hAnsi="Times New Roman" w:cs="Times New Roman"/>
          <w:sz w:val="24"/>
          <w:szCs w:val="24"/>
        </w:rPr>
        <w:fldChar w:fldCharType="end"/>
      </w:r>
    </w:p>
    <w:p w14:paraId="3520BCB4" w14:textId="6F483622" w:rsidR="006C347F" w:rsidRPr="007D7981" w:rsidRDefault="006C347F" w:rsidP="006C347F">
      <w:pPr>
        <w:rPr>
          <w:rFonts w:ascii="Times New Roman" w:hAnsi="Times New Roman" w:cs="Times New Roman"/>
          <w:sz w:val="24"/>
          <w:szCs w:val="24"/>
        </w:rPr>
      </w:pPr>
    </w:p>
    <w:p w14:paraId="4051B56E" w14:textId="2CFD9EB9" w:rsidR="006C347F" w:rsidRPr="007D7981" w:rsidRDefault="006C347F" w:rsidP="006C347F">
      <w:pPr>
        <w:pStyle w:val="ListParagraph"/>
        <w:numPr>
          <w:ilvl w:val="0"/>
          <w:numId w:val="1"/>
        </w:numPr>
        <w:rPr>
          <w:rFonts w:ascii="Times New Roman" w:hAnsi="Times New Roman" w:cs="Times New Roman"/>
          <w:b/>
          <w:bCs/>
          <w:sz w:val="24"/>
          <w:szCs w:val="24"/>
        </w:rPr>
      </w:pPr>
      <w:r w:rsidRPr="007D7981">
        <w:rPr>
          <w:rFonts w:ascii="Times New Roman" w:hAnsi="Times New Roman" w:cs="Times New Roman"/>
          <w:b/>
          <w:bCs/>
          <w:sz w:val="24"/>
          <w:szCs w:val="24"/>
        </w:rPr>
        <w:t>What is a risk factor in the context of non-communicable diseases (NCD)?</w:t>
      </w:r>
    </w:p>
    <w:p w14:paraId="18BEE21F" w14:textId="303F54E7" w:rsidR="006C347F" w:rsidRPr="007D7981" w:rsidRDefault="006C347F"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A “risk factor” refers to any attribute, characteristic, or exposure of an individual which increases the likelihood of developing a noncommunicable disease</w:t>
      </w:r>
      <w:r w:rsidR="00D0391B" w:rsidRPr="007D7981">
        <w:rPr>
          <w:rFonts w:ascii="Times New Roman" w:hAnsi="Times New Roman" w:cs="Times New Roman"/>
          <w:sz w:val="24"/>
          <w:szCs w:val="24"/>
        </w:rPr>
        <w:t xml:space="preserve"> (WHO, 2003)</w:t>
      </w:r>
      <w:r w:rsidRPr="007D7981">
        <w:rPr>
          <w:rFonts w:ascii="Times New Roman" w:hAnsi="Times New Roman" w:cs="Times New Roman"/>
          <w:sz w:val="24"/>
          <w:szCs w:val="24"/>
        </w:rPr>
        <w:t>.</w:t>
      </w:r>
    </w:p>
    <w:p w14:paraId="08A8F9AA" w14:textId="3C2ECB0A" w:rsidR="00D0391B" w:rsidRDefault="00D0391B" w:rsidP="006C347F">
      <w:pPr>
        <w:rPr>
          <w:rFonts w:ascii="Times New Roman" w:hAnsi="Times New Roman" w:cs="Times New Roman"/>
          <w:sz w:val="24"/>
          <w:szCs w:val="24"/>
        </w:rPr>
      </w:pPr>
      <w:r w:rsidRPr="007D7981">
        <w:rPr>
          <w:rFonts w:ascii="Times New Roman" w:hAnsi="Times New Roman" w:cs="Times New Roman"/>
          <w:sz w:val="24"/>
          <w:szCs w:val="24"/>
        </w:rPr>
        <w:t xml:space="preserve">World Health Organization, 2003. STEPS: A framework for surveillance. </w:t>
      </w:r>
      <w:hyperlink r:id="rId6" w:history="1">
        <w:r w:rsidRPr="007D7981">
          <w:rPr>
            <w:rStyle w:val="Hyperlink"/>
            <w:rFonts w:ascii="Times New Roman" w:hAnsi="Times New Roman" w:cs="Times New Roman"/>
            <w:sz w:val="24"/>
            <w:szCs w:val="24"/>
          </w:rPr>
          <w:t>https://www.who.int/ncd_surveillance/en/steps_framework_dec03.pdf</w:t>
        </w:r>
      </w:hyperlink>
    </w:p>
    <w:p w14:paraId="6A301420" w14:textId="77777777" w:rsidR="007D7981" w:rsidRPr="007D7981" w:rsidRDefault="007D7981" w:rsidP="006C347F">
      <w:pPr>
        <w:rPr>
          <w:rFonts w:ascii="Times New Roman" w:hAnsi="Times New Roman" w:cs="Times New Roman"/>
          <w:sz w:val="24"/>
          <w:szCs w:val="24"/>
        </w:rPr>
      </w:pPr>
    </w:p>
    <w:p w14:paraId="267715B6" w14:textId="6EE044C9" w:rsidR="00D0391B" w:rsidRPr="007D7981" w:rsidRDefault="00D0391B" w:rsidP="00D0391B">
      <w:pPr>
        <w:pStyle w:val="ListParagraph"/>
        <w:numPr>
          <w:ilvl w:val="0"/>
          <w:numId w:val="1"/>
        </w:numPr>
        <w:rPr>
          <w:rFonts w:ascii="Times New Roman" w:hAnsi="Times New Roman" w:cs="Times New Roman"/>
          <w:b/>
          <w:bCs/>
          <w:sz w:val="24"/>
          <w:szCs w:val="24"/>
        </w:rPr>
      </w:pPr>
      <w:r w:rsidRPr="007D7981">
        <w:rPr>
          <w:rFonts w:ascii="Times New Roman" w:hAnsi="Times New Roman" w:cs="Times New Roman"/>
          <w:b/>
          <w:bCs/>
          <w:sz w:val="24"/>
          <w:szCs w:val="24"/>
        </w:rPr>
        <w:lastRenderedPageBreak/>
        <w:t>What are the four common risk factors for non-communicable diseases (NCD)?</w:t>
      </w:r>
    </w:p>
    <w:p w14:paraId="2CBBD15A" w14:textId="77777777" w:rsidR="00D0391B" w:rsidRPr="007D7981" w:rsidRDefault="00D0391B" w:rsidP="00D0391B">
      <w:pPr>
        <w:pStyle w:val="ListParagraph"/>
        <w:rPr>
          <w:rFonts w:ascii="Times New Roman" w:hAnsi="Times New Roman" w:cs="Times New Roman"/>
          <w:b/>
          <w:bCs/>
          <w:sz w:val="24"/>
          <w:szCs w:val="24"/>
        </w:rPr>
      </w:pPr>
    </w:p>
    <w:p w14:paraId="441CCF75" w14:textId="32C73CF8" w:rsidR="00D0391B" w:rsidRPr="007D7981" w:rsidRDefault="00D0391B" w:rsidP="007D7981">
      <w:pPr>
        <w:pStyle w:val="ListParagraph"/>
        <w:numPr>
          <w:ilvl w:val="0"/>
          <w:numId w:val="5"/>
        </w:numPr>
        <w:spacing w:line="360" w:lineRule="auto"/>
        <w:rPr>
          <w:rFonts w:ascii="Times New Roman" w:hAnsi="Times New Roman" w:cs="Times New Roman"/>
          <w:sz w:val="24"/>
          <w:szCs w:val="24"/>
        </w:rPr>
      </w:pPr>
      <w:r w:rsidRPr="007D7981">
        <w:rPr>
          <w:rFonts w:ascii="Times New Roman" w:hAnsi="Times New Roman" w:cs="Times New Roman"/>
          <w:sz w:val="24"/>
          <w:szCs w:val="24"/>
        </w:rPr>
        <w:t>Tobacco use.</w:t>
      </w:r>
    </w:p>
    <w:p w14:paraId="207AB782" w14:textId="01561BEE" w:rsidR="00D0391B" w:rsidRPr="007D7981" w:rsidRDefault="00D0391B" w:rsidP="007D7981">
      <w:pPr>
        <w:pStyle w:val="ListParagraph"/>
        <w:numPr>
          <w:ilvl w:val="0"/>
          <w:numId w:val="5"/>
        </w:numPr>
        <w:spacing w:line="360" w:lineRule="auto"/>
        <w:rPr>
          <w:rFonts w:ascii="Times New Roman" w:hAnsi="Times New Roman" w:cs="Times New Roman"/>
          <w:sz w:val="24"/>
          <w:szCs w:val="24"/>
        </w:rPr>
      </w:pPr>
      <w:r w:rsidRPr="007D7981">
        <w:rPr>
          <w:rFonts w:ascii="Times New Roman" w:hAnsi="Times New Roman" w:cs="Times New Roman"/>
          <w:sz w:val="24"/>
          <w:szCs w:val="24"/>
        </w:rPr>
        <w:t>Inappropriate diet.</w:t>
      </w:r>
    </w:p>
    <w:p w14:paraId="5F7A1A0E" w14:textId="3D73C308" w:rsidR="00D0391B" w:rsidRPr="007D7981" w:rsidRDefault="00D0391B" w:rsidP="007D7981">
      <w:pPr>
        <w:pStyle w:val="ListParagraph"/>
        <w:numPr>
          <w:ilvl w:val="0"/>
          <w:numId w:val="5"/>
        </w:numPr>
        <w:spacing w:line="360" w:lineRule="auto"/>
        <w:rPr>
          <w:rFonts w:ascii="Times New Roman" w:hAnsi="Times New Roman" w:cs="Times New Roman"/>
          <w:sz w:val="24"/>
          <w:szCs w:val="24"/>
        </w:rPr>
      </w:pPr>
      <w:r w:rsidRPr="007D7981">
        <w:rPr>
          <w:rFonts w:ascii="Times New Roman" w:hAnsi="Times New Roman" w:cs="Times New Roman"/>
          <w:sz w:val="24"/>
          <w:szCs w:val="24"/>
        </w:rPr>
        <w:t>Misuse of alcohol.</w:t>
      </w:r>
    </w:p>
    <w:p w14:paraId="1D0DD92F" w14:textId="5A30C2A0" w:rsidR="00D0391B" w:rsidRPr="007D7981" w:rsidRDefault="00D0391B" w:rsidP="007D7981">
      <w:pPr>
        <w:pStyle w:val="ListParagraph"/>
        <w:numPr>
          <w:ilvl w:val="0"/>
          <w:numId w:val="5"/>
        </w:numPr>
        <w:spacing w:line="360" w:lineRule="auto"/>
        <w:rPr>
          <w:rFonts w:ascii="Times New Roman" w:hAnsi="Times New Roman" w:cs="Times New Roman"/>
          <w:sz w:val="24"/>
          <w:szCs w:val="24"/>
        </w:rPr>
      </w:pPr>
      <w:r w:rsidRPr="007D7981">
        <w:rPr>
          <w:rFonts w:ascii="Times New Roman" w:hAnsi="Times New Roman" w:cs="Times New Roman"/>
          <w:sz w:val="24"/>
          <w:szCs w:val="24"/>
        </w:rPr>
        <w:t>Sedentary lifestyle.</w:t>
      </w:r>
    </w:p>
    <w:p w14:paraId="742B4769" w14:textId="77777777" w:rsidR="00D0391B" w:rsidRPr="007D7981" w:rsidRDefault="00D0391B" w:rsidP="00D0391B">
      <w:pPr>
        <w:rPr>
          <w:rFonts w:ascii="Times New Roman" w:hAnsi="Times New Roman" w:cs="Times New Roman"/>
          <w:sz w:val="24"/>
          <w:szCs w:val="24"/>
        </w:rPr>
      </w:pPr>
    </w:p>
    <w:p w14:paraId="0FEAE21B" w14:textId="036258DF" w:rsidR="00D0391B" w:rsidRDefault="00D0391B" w:rsidP="00D0391B">
      <w:pPr>
        <w:rPr>
          <w:rFonts w:ascii="Times New Roman" w:hAnsi="Times New Roman" w:cs="Times New Roman"/>
          <w:sz w:val="24"/>
          <w:szCs w:val="24"/>
        </w:rPr>
      </w:pPr>
      <w:r w:rsidRPr="007D7981">
        <w:rPr>
          <w:rFonts w:ascii="Times New Roman" w:hAnsi="Times New Roman" w:cs="Times New Roman"/>
          <w:sz w:val="24"/>
          <w:szCs w:val="24"/>
        </w:rPr>
        <w:t xml:space="preserve">World Health Organization, 2003. STEPS: A framework for surveillance. </w:t>
      </w:r>
      <w:hyperlink r:id="rId7" w:history="1">
        <w:r w:rsidRPr="007D7981">
          <w:rPr>
            <w:rStyle w:val="Hyperlink"/>
            <w:rFonts w:ascii="Times New Roman" w:hAnsi="Times New Roman" w:cs="Times New Roman"/>
            <w:sz w:val="24"/>
            <w:szCs w:val="24"/>
          </w:rPr>
          <w:t>https://www.who.int/ncd_surveillance/en/steps_framework_dec03.pdf</w:t>
        </w:r>
      </w:hyperlink>
    </w:p>
    <w:p w14:paraId="6EF8101E" w14:textId="77777777" w:rsidR="007D7981" w:rsidRPr="007D7981" w:rsidRDefault="007D7981" w:rsidP="00D0391B">
      <w:pPr>
        <w:rPr>
          <w:rFonts w:ascii="Times New Roman" w:hAnsi="Times New Roman" w:cs="Times New Roman"/>
          <w:sz w:val="24"/>
          <w:szCs w:val="24"/>
        </w:rPr>
      </w:pPr>
    </w:p>
    <w:p w14:paraId="5A2BBAD6" w14:textId="76EA1279" w:rsidR="00D0391B" w:rsidRDefault="00D0391B" w:rsidP="00D0391B">
      <w:pPr>
        <w:pStyle w:val="ListParagraph"/>
        <w:numPr>
          <w:ilvl w:val="0"/>
          <w:numId w:val="1"/>
        </w:numPr>
        <w:rPr>
          <w:rFonts w:ascii="Times New Roman" w:hAnsi="Times New Roman" w:cs="Times New Roman"/>
          <w:b/>
          <w:bCs/>
          <w:sz w:val="24"/>
          <w:szCs w:val="24"/>
        </w:rPr>
      </w:pPr>
      <w:r w:rsidRPr="007D7981">
        <w:rPr>
          <w:rFonts w:ascii="Times New Roman" w:hAnsi="Times New Roman" w:cs="Times New Roman"/>
          <w:b/>
          <w:bCs/>
          <w:sz w:val="24"/>
          <w:szCs w:val="24"/>
        </w:rPr>
        <w:t>Using a well-labelled diagram, illustrate the causal</w:t>
      </w:r>
      <w:r w:rsidR="009A0EDD" w:rsidRPr="007D7981">
        <w:rPr>
          <w:rFonts w:ascii="Times New Roman" w:hAnsi="Times New Roman" w:cs="Times New Roman"/>
          <w:b/>
          <w:bCs/>
          <w:sz w:val="24"/>
          <w:szCs w:val="24"/>
        </w:rPr>
        <w:t>-chain of non-communicable diseases (NCDs).</w:t>
      </w:r>
    </w:p>
    <w:p w14:paraId="0CD3AF4F" w14:textId="77777777" w:rsidR="007D7981" w:rsidRPr="007D7981" w:rsidRDefault="007D7981" w:rsidP="007D7981">
      <w:pPr>
        <w:rPr>
          <w:rFonts w:ascii="Times New Roman" w:hAnsi="Times New Roman" w:cs="Times New Roman"/>
          <w:b/>
          <w:bCs/>
          <w:sz w:val="24"/>
          <w:szCs w:val="24"/>
        </w:rPr>
      </w:pPr>
    </w:p>
    <w:p w14:paraId="124E0AC3" w14:textId="2538044C" w:rsidR="009A0EDD" w:rsidRPr="007D7981" w:rsidRDefault="007D7981" w:rsidP="009A0EDD">
      <w:pPr>
        <w:rPr>
          <w:rFonts w:ascii="Times New Roman" w:hAnsi="Times New Roman" w:cs="Times New Roman"/>
          <w:sz w:val="24"/>
          <w:szCs w:val="24"/>
        </w:rPr>
      </w:pPr>
      <w:r w:rsidRPr="007D7981">
        <w:rPr>
          <w:rFonts w:ascii="Times New Roman" w:hAnsi="Times New Roman" w:cs="Times New Roman"/>
          <w:noProof/>
          <w:sz w:val="24"/>
          <w:szCs w:val="24"/>
        </w:rPr>
        <w:drawing>
          <wp:anchor distT="0" distB="0" distL="114300" distR="114300" simplePos="0" relativeHeight="251658240" behindDoc="0" locked="0" layoutInCell="1" allowOverlap="1" wp14:anchorId="73B89171" wp14:editId="7109A1B6">
            <wp:simplePos x="0" y="0"/>
            <wp:positionH relativeFrom="margin">
              <wp:align>right</wp:align>
            </wp:positionH>
            <wp:positionV relativeFrom="paragraph">
              <wp:posOffset>290195</wp:posOffset>
            </wp:positionV>
            <wp:extent cx="5229225" cy="2781300"/>
            <wp:effectExtent l="38100" t="0" r="9525" b="3810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r w:rsidR="009A0EDD" w:rsidRPr="007D7981">
        <w:rPr>
          <w:rFonts w:ascii="Times New Roman" w:hAnsi="Times New Roman" w:cs="Times New Roman"/>
          <w:sz w:val="24"/>
          <w:szCs w:val="24"/>
        </w:rPr>
        <w:fldChar w:fldCharType="begin"/>
      </w:r>
      <w:r w:rsidR="009A0EDD" w:rsidRPr="007D7981">
        <w:rPr>
          <w:rFonts w:ascii="Times New Roman" w:hAnsi="Times New Roman" w:cs="Times New Roman"/>
          <w:sz w:val="24"/>
          <w:szCs w:val="24"/>
        </w:rPr>
        <w:instrText xml:space="preserve"> ADDIN ZOTERO_ITEM CSL_CITATION {"citationID":"ZJLKc2Cp","properties":{"formattedCitation":"(Mayige, 2016)","plainCitation":"(Mayige, 2016)","noteIndex":0},"citationItems":[{"id":264,"uris":["http://zotero.org/users/local/BHqQW73s/items/AHDMDHP3"],"uri":["http://zotero.org/users/local/BHqQW73s/items/AHDMDHP3"],"itemData":{"id":264,"type":"book","title":"PREVENTION OF NON COMMUNICABLE IN TANZANIA USING AN INTERSECTORAL APPROACH","source":"ResearchGate","note":"DOI: 10.13140/RG.2.1.3976.1047","author":[{"family":"Mayige","given":"Mary"}],"issued":{"date-parts":[["2016",3,1]]}}}],"schema":"https://github.com/citation-style-language/schema/raw/master/csl-citation.json"} </w:instrText>
      </w:r>
      <w:r w:rsidR="009A0EDD" w:rsidRPr="007D7981">
        <w:rPr>
          <w:rFonts w:ascii="Times New Roman" w:hAnsi="Times New Roman" w:cs="Times New Roman"/>
          <w:sz w:val="24"/>
          <w:szCs w:val="24"/>
        </w:rPr>
        <w:fldChar w:fldCharType="separate"/>
      </w:r>
      <w:r w:rsidR="009A0EDD" w:rsidRPr="007D7981">
        <w:rPr>
          <w:rFonts w:ascii="Times New Roman" w:hAnsi="Times New Roman" w:cs="Times New Roman"/>
          <w:sz w:val="24"/>
          <w:szCs w:val="24"/>
        </w:rPr>
        <w:t>(Mayige, 2016)</w:t>
      </w:r>
      <w:r w:rsidR="009A0EDD" w:rsidRPr="007D7981">
        <w:rPr>
          <w:rFonts w:ascii="Times New Roman" w:hAnsi="Times New Roman" w:cs="Times New Roman"/>
          <w:sz w:val="24"/>
          <w:szCs w:val="24"/>
        </w:rPr>
        <w:fldChar w:fldCharType="end"/>
      </w:r>
    </w:p>
    <w:p w14:paraId="3BA1E293" w14:textId="5F3F94B0" w:rsidR="009A0EDD" w:rsidRPr="007D7981" w:rsidRDefault="009A0EDD" w:rsidP="009A0EDD">
      <w:pPr>
        <w:rPr>
          <w:rFonts w:ascii="Times New Roman" w:hAnsi="Times New Roman" w:cs="Times New Roman"/>
          <w:sz w:val="24"/>
          <w:szCs w:val="24"/>
        </w:rPr>
      </w:pPr>
    </w:p>
    <w:p w14:paraId="310DC2B1" w14:textId="7B063B2B" w:rsidR="006C347F" w:rsidRPr="007D7981" w:rsidRDefault="006C347F" w:rsidP="006C347F">
      <w:pPr>
        <w:rPr>
          <w:rFonts w:ascii="Times New Roman" w:hAnsi="Times New Roman" w:cs="Times New Roman"/>
          <w:sz w:val="24"/>
          <w:szCs w:val="24"/>
        </w:rPr>
      </w:pPr>
    </w:p>
    <w:p w14:paraId="3918EB50" w14:textId="0C083E4C" w:rsidR="009A0EDD" w:rsidRPr="007D7981" w:rsidRDefault="009A0EDD" w:rsidP="009A0EDD">
      <w:pPr>
        <w:rPr>
          <w:rFonts w:ascii="Times New Roman" w:hAnsi="Times New Roman" w:cs="Times New Roman"/>
          <w:sz w:val="24"/>
          <w:szCs w:val="24"/>
        </w:rPr>
      </w:pPr>
    </w:p>
    <w:p w14:paraId="334AA21B" w14:textId="5139BE00" w:rsidR="009A0EDD" w:rsidRPr="007D7981" w:rsidRDefault="009A0EDD" w:rsidP="009A0EDD">
      <w:pPr>
        <w:rPr>
          <w:rFonts w:ascii="Times New Roman" w:hAnsi="Times New Roman" w:cs="Times New Roman"/>
          <w:sz w:val="24"/>
          <w:szCs w:val="24"/>
        </w:rPr>
      </w:pPr>
    </w:p>
    <w:p w14:paraId="2F3AD7D3" w14:textId="7F767A9D" w:rsidR="009A0EDD" w:rsidRPr="007D7981" w:rsidRDefault="009A0EDD" w:rsidP="009A0EDD">
      <w:pPr>
        <w:rPr>
          <w:rFonts w:ascii="Times New Roman" w:hAnsi="Times New Roman" w:cs="Times New Roman"/>
          <w:sz w:val="24"/>
          <w:szCs w:val="24"/>
        </w:rPr>
      </w:pPr>
    </w:p>
    <w:p w14:paraId="7F4AC561" w14:textId="72830D40" w:rsidR="009A0EDD" w:rsidRPr="007D7981" w:rsidRDefault="009A0EDD" w:rsidP="009A0EDD">
      <w:pPr>
        <w:rPr>
          <w:rFonts w:ascii="Times New Roman" w:hAnsi="Times New Roman" w:cs="Times New Roman"/>
          <w:sz w:val="24"/>
          <w:szCs w:val="24"/>
        </w:rPr>
      </w:pPr>
    </w:p>
    <w:p w14:paraId="28A04990" w14:textId="2832CFCA" w:rsidR="009A0EDD" w:rsidRPr="007D7981" w:rsidRDefault="009A0EDD" w:rsidP="009A0EDD">
      <w:pPr>
        <w:rPr>
          <w:rFonts w:ascii="Times New Roman" w:hAnsi="Times New Roman" w:cs="Times New Roman"/>
          <w:sz w:val="24"/>
          <w:szCs w:val="24"/>
        </w:rPr>
      </w:pPr>
    </w:p>
    <w:p w14:paraId="405A2DE2" w14:textId="5E9F051A" w:rsidR="009A0EDD" w:rsidRPr="007D7981" w:rsidRDefault="009A0EDD" w:rsidP="009A0EDD">
      <w:pPr>
        <w:rPr>
          <w:rFonts w:ascii="Times New Roman" w:hAnsi="Times New Roman" w:cs="Times New Roman"/>
          <w:sz w:val="24"/>
          <w:szCs w:val="24"/>
        </w:rPr>
      </w:pPr>
    </w:p>
    <w:p w14:paraId="159393A9" w14:textId="54D0ADE7" w:rsidR="009A0EDD" w:rsidRPr="007D7981" w:rsidRDefault="009A0EDD" w:rsidP="009A0EDD">
      <w:pPr>
        <w:rPr>
          <w:rFonts w:ascii="Times New Roman" w:hAnsi="Times New Roman" w:cs="Times New Roman"/>
          <w:sz w:val="24"/>
          <w:szCs w:val="24"/>
        </w:rPr>
      </w:pPr>
    </w:p>
    <w:p w14:paraId="7A12CA36" w14:textId="77777777" w:rsidR="007D7981" w:rsidRDefault="007D7981" w:rsidP="009A0EDD">
      <w:pPr>
        <w:rPr>
          <w:rFonts w:ascii="Times New Roman" w:hAnsi="Times New Roman" w:cs="Times New Roman"/>
          <w:sz w:val="24"/>
          <w:szCs w:val="24"/>
        </w:rPr>
      </w:pPr>
    </w:p>
    <w:p w14:paraId="7E8D1CC7" w14:textId="77777777" w:rsidR="007D7981" w:rsidRDefault="007D7981" w:rsidP="009A0EDD">
      <w:pPr>
        <w:rPr>
          <w:rFonts w:ascii="Times New Roman" w:hAnsi="Times New Roman" w:cs="Times New Roman"/>
          <w:sz w:val="24"/>
          <w:szCs w:val="24"/>
        </w:rPr>
      </w:pPr>
    </w:p>
    <w:p w14:paraId="429C07F5" w14:textId="77777777" w:rsidR="007D7981" w:rsidRDefault="007D7981" w:rsidP="009A0EDD">
      <w:pPr>
        <w:rPr>
          <w:rFonts w:ascii="Times New Roman" w:hAnsi="Times New Roman" w:cs="Times New Roman"/>
          <w:sz w:val="24"/>
          <w:szCs w:val="24"/>
        </w:rPr>
      </w:pPr>
    </w:p>
    <w:p w14:paraId="64AC63F0" w14:textId="0695F9C7" w:rsidR="009A0EDD" w:rsidRDefault="009A0EDD" w:rsidP="009A0EDD">
      <w:pPr>
        <w:rPr>
          <w:rFonts w:ascii="Times New Roman" w:hAnsi="Times New Roman" w:cs="Times New Roman"/>
          <w:sz w:val="24"/>
          <w:szCs w:val="24"/>
        </w:rPr>
      </w:pPr>
      <w:r w:rsidRPr="007D7981">
        <w:rPr>
          <w:rFonts w:ascii="Times New Roman" w:hAnsi="Times New Roman" w:cs="Times New Roman"/>
          <w:sz w:val="24"/>
          <w:szCs w:val="24"/>
        </w:rPr>
        <w:t>The causal-chain of NCDs is employed in the WHO step-wise approach to the surveillance of NCDs (question 8 ii).</w:t>
      </w:r>
    </w:p>
    <w:p w14:paraId="3A1A5563" w14:textId="1F4A92AE" w:rsidR="007D7981" w:rsidRDefault="007D7981" w:rsidP="009A0EDD">
      <w:pPr>
        <w:rPr>
          <w:rFonts w:ascii="Times New Roman" w:hAnsi="Times New Roman" w:cs="Times New Roman"/>
          <w:sz w:val="24"/>
          <w:szCs w:val="24"/>
        </w:rPr>
      </w:pPr>
    </w:p>
    <w:p w14:paraId="0AE9DD47" w14:textId="48DAABE2" w:rsidR="007D7981" w:rsidRDefault="007D7981" w:rsidP="009A0EDD">
      <w:pPr>
        <w:rPr>
          <w:rFonts w:ascii="Times New Roman" w:hAnsi="Times New Roman" w:cs="Times New Roman"/>
          <w:sz w:val="24"/>
          <w:szCs w:val="24"/>
        </w:rPr>
      </w:pPr>
    </w:p>
    <w:p w14:paraId="0800D4B2" w14:textId="22EC711B" w:rsidR="007D7981" w:rsidRDefault="007D7981" w:rsidP="009A0EDD">
      <w:pPr>
        <w:rPr>
          <w:rFonts w:ascii="Times New Roman" w:hAnsi="Times New Roman" w:cs="Times New Roman"/>
          <w:sz w:val="24"/>
          <w:szCs w:val="24"/>
        </w:rPr>
      </w:pPr>
    </w:p>
    <w:p w14:paraId="63BBD460" w14:textId="37CF503A" w:rsidR="007D7981" w:rsidRDefault="007D7981" w:rsidP="009A0EDD">
      <w:pPr>
        <w:rPr>
          <w:rFonts w:ascii="Times New Roman" w:hAnsi="Times New Roman" w:cs="Times New Roman"/>
          <w:sz w:val="24"/>
          <w:szCs w:val="24"/>
        </w:rPr>
      </w:pPr>
    </w:p>
    <w:p w14:paraId="4CC054E6" w14:textId="42FF7459" w:rsidR="009A0EDD" w:rsidRPr="007D7981" w:rsidRDefault="009A0EDD" w:rsidP="009A0EDD">
      <w:pPr>
        <w:pStyle w:val="ListParagraph"/>
        <w:numPr>
          <w:ilvl w:val="0"/>
          <w:numId w:val="1"/>
        </w:numPr>
        <w:rPr>
          <w:rFonts w:ascii="Times New Roman" w:hAnsi="Times New Roman" w:cs="Times New Roman"/>
          <w:b/>
          <w:bCs/>
          <w:sz w:val="24"/>
          <w:szCs w:val="24"/>
        </w:rPr>
      </w:pPr>
      <w:r w:rsidRPr="007D7981">
        <w:rPr>
          <w:rFonts w:ascii="Times New Roman" w:hAnsi="Times New Roman" w:cs="Times New Roman"/>
          <w:b/>
          <w:bCs/>
          <w:sz w:val="24"/>
          <w:szCs w:val="24"/>
        </w:rPr>
        <w:lastRenderedPageBreak/>
        <w:t>Describe the concept of “commonality of risk factor” and the public health application of the same.</w:t>
      </w:r>
    </w:p>
    <w:p w14:paraId="5D1F452F" w14:textId="78B78CF6" w:rsidR="009A0EDD" w:rsidRPr="007D7981" w:rsidRDefault="009A0EDD"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 xml:space="preserve">This refers to the state of sharing </w:t>
      </w:r>
      <w:r w:rsidR="00000389" w:rsidRPr="007D7981">
        <w:rPr>
          <w:rFonts w:ascii="Times New Roman" w:hAnsi="Times New Roman" w:cs="Times New Roman"/>
          <w:sz w:val="24"/>
          <w:szCs w:val="24"/>
        </w:rPr>
        <w:t>of a risk factor by two or more</w:t>
      </w:r>
      <w:r w:rsidRPr="007D7981">
        <w:rPr>
          <w:rFonts w:ascii="Times New Roman" w:hAnsi="Times New Roman" w:cs="Times New Roman"/>
          <w:sz w:val="24"/>
          <w:szCs w:val="24"/>
        </w:rPr>
        <w:t xml:space="preserve"> noncommunicable disease</w:t>
      </w:r>
      <w:r w:rsidR="00000389" w:rsidRPr="007D7981">
        <w:rPr>
          <w:rFonts w:ascii="Times New Roman" w:hAnsi="Times New Roman" w:cs="Times New Roman"/>
          <w:sz w:val="24"/>
          <w:szCs w:val="24"/>
        </w:rPr>
        <w:t>s (NCDs). For example, tobacco smoking is a known risk factor for lung cancer, coronary artery disease, chronic bronchitis and diabetes mellitus. Th</w:t>
      </w:r>
      <w:r w:rsidR="00E87832" w:rsidRPr="007D7981">
        <w:rPr>
          <w:rFonts w:ascii="Times New Roman" w:hAnsi="Times New Roman" w:cs="Times New Roman"/>
          <w:sz w:val="24"/>
          <w:szCs w:val="24"/>
        </w:rPr>
        <w:t>erefore, tobacco smoking is a risk factor common to all these diseases.</w:t>
      </w:r>
    </w:p>
    <w:p w14:paraId="4D24BCCB" w14:textId="4C16E1A5" w:rsidR="00BE50BA" w:rsidRDefault="00BE50BA"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 xml:space="preserve">In the context of public health, </w:t>
      </w:r>
      <w:r w:rsidR="00E36942" w:rsidRPr="007D7981">
        <w:rPr>
          <w:rFonts w:ascii="Times New Roman" w:hAnsi="Times New Roman" w:cs="Times New Roman"/>
          <w:sz w:val="24"/>
          <w:szCs w:val="24"/>
        </w:rPr>
        <w:t>g</w:t>
      </w:r>
      <w:r w:rsidR="00E36942" w:rsidRPr="007D7981">
        <w:rPr>
          <w:rFonts w:ascii="Times New Roman" w:hAnsi="Times New Roman" w:cs="Times New Roman"/>
          <w:color w:val="000000"/>
          <w:sz w:val="24"/>
          <w:szCs w:val="24"/>
          <w:shd w:val="clear" w:color="auto" w:fill="FFFFFF"/>
        </w:rPr>
        <w:t xml:space="preserve">aining a greater understanding and taking greater account of the interconnected and overlapping relationships between common risk factors and common NCDs may facilitate more appropriate and targeted risk reduction. Further, understanding the commonality of risk factors provides the potential for targeted risk reduction to simultaneously impact multiple noncommunicable disease areas. </w:t>
      </w:r>
      <w:r w:rsidR="00E36942" w:rsidRPr="007D7981">
        <w:rPr>
          <w:rFonts w:ascii="Times New Roman" w:hAnsi="Times New Roman" w:cs="Times New Roman"/>
          <w:color w:val="000000"/>
          <w:sz w:val="24"/>
          <w:szCs w:val="24"/>
          <w:shd w:val="clear" w:color="auto" w:fill="FFFFFF"/>
        </w:rPr>
        <w:fldChar w:fldCharType="begin"/>
      </w:r>
      <w:r w:rsidR="00E36942" w:rsidRPr="007D7981">
        <w:rPr>
          <w:rFonts w:ascii="Times New Roman" w:hAnsi="Times New Roman" w:cs="Times New Roman"/>
          <w:color w:val="000000"/>
          <w:sz w:val="24"/>
          <w:szCs w:val="24"/>
          <w:shd w:val="clear" w:color="auto" w:fill="FFFFFF"/>
        </w:rPr>
        <w:instrText xml:space="preserve"> ADDIN ZOTERO_ITEM CSL_CITATION {"citationID":"0Nm6TizY","properties":{"formattedCitation":"(Peters et al., 2019)","plainCitation":"(Peters et al., 2019)","noteIndex":0},"citationItems":[{"id":267,"uris":["http://zotero.org/users/local/BHqQW73s/items/U3PH3HNS"],"uri":["http://zotero.org/users/local/BHqQW73s/items/U3PH3HNS"],"itemData":{"id":267,"type":"article-journal","title":"Common risk factors for major noncommunicable disease, a systematic overview of reviews and commentary: the implied potential for targeted risk reduction","container-title":"Therapeutic Advances in Chronic Disease","volume":"10","source":"PubMed Central","abstract":"Noncommunicable disease now contributes to the World Health Organization top 10\ncauses of death in low-, middle- and high-income countries. Particular examples\ninclude stroke, coronary heart disease, dementia and certain cancers. Research\nlinking clinical and lifestyle risk factors to increased risk of noncommunicable\ndisease is now well established with examples of confirmed risk factors,\nincluding smoking, physical inactivity, obesity and hypertension. However,\ndespite a need to target our resources to achieve risk reduction, relatively\nlittle work has examined the overlap between the risk factors for these main\nnoncommunicable diseases. Our high-level review draws together the evidence in\nthis area. Using a systematic overview of reviews, we demonstrate the likely\ncommonality of established risk factors having an impact on multiple\nnoncommunicable disease outcomes. For example, systematic reviews of the\nevidence on physical inactivity and poor diet found each to be associated with\nincreased risk of cancers, coronary heart disease, stroke, diabetes mellitus and\ndementia. We highlight the potential for targeted risk reduction to\nsimultaneously impact multiple noncommunicable disease areas. These\nrelationships now need to be further quantified to allow the most effective\ndevelopment of public health interventions in this area.","URL":"https://www.ncbi.nlm.nih.gov/pmc/articles/PMC6794648/","DOI":"10.1177/2040622319880392","ISSN":"2040-6223","note":"PMID: 31662837\nPMCID: PMC6794648","title-short":"Common risk factors for major noncommunicable disease, a systematic overview of reviews and commentary","journalAbbreviation":"Ther Adv Chronic Dis","author":[{"family":"Peters","given":"Ruth"},{"family":"Ee","given":"Nicole"},{"family":"Peters","given":"Jean"},{"family":"Beckett","given":"Nigel"},{"family":"Booth","given":"Andrew"},{"family":"Rockwood","given":"Kenneth"},{"family":"Anstey","given":"Kaarin J."}],"issued":{"date-parts":[["2019",10,15]]},"accessed":{"date-parts":[["2019",11,30]]}}}],"schema":"https://github.com/citation-style-language/schema/raw/master/csl-citation.json"} </w:instrText>
      </w:r>
      <w:r w:rsidR="00E36942" w:rsidRPr="007D7981">
        <w:rPr>
          <w:rFonts w:ascii="Times New Roman" w:hAnsi="Times New Roman" w:cs="Times New Roman"/>
          <w:color w:val="000000"/>
          <w:sz w:val="24"/>
          <w:szCs w:val="24"/>
          <w:shd w:val="clear" w:color="auto" w:fill="FFFFFF"/>
        </w:rPr>
        <w:fldChar w:fldCharType="separate"/>
      </w:r>
      <w:r w:rsidR="00E36942" w:rsidRPr="007D7981">
        <w:rPr>
          <w:rFonts w:ascii="Times New Roman" w:hAnsi="Times New Roman" w:cs="Times New Roman"/>
          <w:sz w:val="24"/>
          <w:szCs w:val="24"/>
        </w:rPr>
        <w:t>(Peters et al., 2019)</w:t>
      </w:r>
      <w:r w:rsidR="00E36942" w:rsidRPr="007D7981">
        <w:rPr>
          <w:rFonts w:ascii="Times New Roman" w:hAnsi="Times New Roman" w:cs="Times New Roman"/>
          <w:color w:val="000000"/>
          <w:sz w:val="24"/>
          <w:szCs w:val="24"/>
          <w:shd w:val="clear" w:color="auto" w:fill="FFFFFF"/>
        </w:rPr>
        <w:fldChar w:fldCharType="end"/>
      </w:r>
      <w:r w:rsidR="00E36942" w:rsidRPr="007D7981">
        <w:rPr>
          <w:rFonts w:ascii="Times New Roman" w:hAnsi="Times New Roman" w:cs="Times New Roman"/>
          <w:color w:val="000000"/>
          <w:sz w:val="24"/>
          <w:szCs w:val="24"/>
          <w:shd w:val="clear" w:color="auto" w:fill="FFFFFF"/>
        </w:rPr>
        <w:t>. S</w:t>
      </w:r>
      <w:r w:rsidRPr="007D7981">
        <w:rPr>
          <w:rFonts w:ascii="Times New Roman" w:hAnsi="Times New Roman" w:cs="Times New Roman"/>
          <w:sz w:val="24"/>
          <w:szCs w:val="24"/>
        </w:rPr>
        <w:t>urveillance of those major risk factors which are known to be common to several major NCDs, and which are found to be predictive of disease occurrence should be given a high priority</w:t>
      </w:r>
      <w:r w:rsidR="006C6929" w:rsidRPr="007D7981">
        <w:rPr>
          <w:rFonts w:ascii="Times New Roman" w:hAnsi="Times New Roman" w:cs="Times New Roman"/>
          <w:sz w:val="24"/>
          <w:szCs w:val="24"/>
        </w:rPr>
        <w:t xml:space="preserve"> </w:t>
      </w:r>
      <w:r w:rsidRPr="007D7981">
        <w:rPr>
          <w:rFonts w:ascii="Times New Roman" w:hAnsi="Times New Roman" w:cs="Times New Roman"/>
          <w:sz w:val="24"/>
          <w:szCs w:val="24"/>
        </w:rPr>
        <w:t>(WHO, 2003).</w:t>
      </w:r>
    </w:p>
    <w:p w14:paraId="24DB586D" w14:textId="77777777" w:rsidR="007D7981" w:rsidRPr="007D7981" w:rsidRDefault="007D7981" w:rsidP="007D7981">
      <w:pPr>
        <w:spacing w:line="360" w:lineRule="auto"/>
        <w:jc w:val="both"/>
        <w:rPr>
          <w:rFonts w:ascii="Times New Roman" w:hAnsi="Times New Roman" w:cs="Times New Roman"/>
          <w:sz w:val="24"/>
          <w:szCs w:val="24"/>
        </w:rPr>
      </w:pPr>
    </w:p>
    <w:p w14:paraId="3EE13089" w14:textId="0BBF88EE" w:rsidR="00293184" w:rsidRPr="007D7981" w:rsidRDefault="00293184" w:rsidP="00293184">
      <w:pPr>
        <w:pStyle w:val="ListParagraph"/>
        <w:numPr>
          <w:ilvl w:val="0"/>
          <w:numId w:val="1"/>
        </w:numPr>
        <w:rPr>
          <w:rFonts w:ascii="Times New Roman" w:hAnsi="Times New Roman" w:cs="Times New Roman"/>
          <w:b/>
          <w:bCs/>
          <w:sz w:val="24"/>
          <w:szCs w:val="24"/>
        </w:rPr>
      </w:pPr>
      <w:r w:rsidRPr="007D7981">
        <w:rPr>
          <w:rFonts w:ascii="Times New Roman" w:hAnsi="Times New Roman" w:cs="Times New Roman"/>
          <w:b/>
          <w:bCs/>
          <w:sz w:val="24"/>
          <w:szCs w:val="24"/>
        </w:rPr>
        <w:t>Social determinants of health</w:t>
      </w:r>
    </w:p>
    <w:p w14:paraId="4DF4BD52" w14:textId="77777777" w:rsidR="00293184" w:rsidRPr="007D7981" w:rsidRDefault="00293184" w:rsidP="00293184">
      <w:pPr>
        <w:pStyle w:val="ListParagraph"/>
        <w:rPr>
          <w:rFonts w:ascii="Times New Roman" w:hAnsi="Times New Roman" w:cs="Times New Roman"/>
          <w:b/>
          <w:bCs/>
          <w:sz w:val="24"/>
          <w:szCs w:val="24"/>
        </w:rPr>
      </w:pPr>
    </w:p>
    <w:p w14:paraId="36DEFD1F" w14:textId="5A4AD724" w:rsidR="00293184" w:rsidRPr="007D7981" w:rsidRDefault="00293184" w:rsidP="00293184">
      <w:pPr>
        <w:pStyle w:val="ListParagraph"/>
        <w:numPr>
          <w:ilvl w:val="1"/>
          <w:numId w:val="6"/>
        </w:numPr>
        <w:rPr>
          <w:rFonts w:ascii="Times New Roman" w:hAnsi="Times New Roman" w:cs="Times New Roman"/>
          <w:b/>
          <w:bCs/>
          <w:sz w:val="24"/>
          <w:szCs w:val="24"/>
        </w:rPr>
      </w:pPr>
      <w:r w:rsidRPr="007D7981">
        <w:rPr>
          <w:rFonts w:ascii="Times New Roman" w:hAnsi="Times New Roman" w:cs="Times New Roman"/>
          <w:b/>
          <w:bCs/>
          <w:sz w:val="24"/>
          <w:szCs w:val="24"/>
        </w:rPr>
        <w:t>Define the term “social determinants of health”.</w:t>
      </w:r>
    </w:p>
    <w:p w14:paraId="5EDEE5D1" w14:textId="2B870B37" w:rsidR="00293184" w:rsidRPr="007D7981" w:rsidRDefault="00293184"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The social determinants of health are the conditions in which people are born, grow, live, work and age. These circumstances are shaped by the distribution of money, power and resources at global, national and local levels. They include intangible factors such as political, socioeconomic, and cultural constructs, as well as place-based conditions including accessible healthcare and education systems, safe environmental conditions, well-designed neighbourhoods, and availability of healthful food.</w:t>
      </w:r>
    </w:p>
    <w:p w14:paraId="0D3D0480" w14:textId="2076B750" w:rsidR="009A0EDD" w:rsidRPr="007D7981" w:rsidRDefault="00591EE1" w:rsidP="00591EE1">
      <w:pPr>
        <w:pStyle w:val="ListParagraph"/>
        <w:numPr>
          <w:ilvl w:val="1"/>
          <w:numId w:val="6"/>
        </w:numPr>
        <w:rPr>
          <w:rFonts w:ascii="Times New Roman" w:hAnsi="Times New Roman" w:cs="Times New Roman"/>
          <w:b/>
          <w:bCs/>
          <w:sz w:val="24"/>
          <w:szCs w:val="24"/>
        </w:rPr>
      </w:pPr>
      <w:r w:rsidRPr="007D7981">
        <w:rPr>
          <w:rFonts w:ascii="Times New Roman" w:hAnsi="Times New Roman" w:cs="Times New Roman"/>
          <w:b/>
          <w:bCs/>
          <w:sz w:val="24"/>
          <w:szCs w:val="24"/>
        </w:rPr>
        <w:t>Using the conceptual framework of social determinants of health (SDH), describe its application in the prevention and control of non-communicable diseases (NCDs).</w:t>
      </w:r>
    </w:p>
    <w:p w14:paraId="05632D7E" w14:textId="1A152481" w:rsidR="00591EE1" w:rsidRPr="007D7981" w:rsidRDefault="00591EE1"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The SDH conceptual framework outlines how the social, economic and political mechanisms give rise to a set of socioeconomic positions, whereby populations are stratified according to income, education, occupation, gender, race/ethnicity and other factors; these socioeconomic positions in turn shape specific determinants of health status (intermediary determinants) reflective of people’s place within social hierarchies; based on their respective social status, individuals experience differences in exposure and vulnerability to health-compromising conditions.</w:t>
      </w:r>
    </w:p>
    <w:p w14:paraId="382626AE" w14:textId="1E63576D" w:rsidR="00591EE1" w:rsidRPr="007D7981" w:rsidRDefault="00591EE1" w:rsidP="00591EE1">
      <w:pPr>
        <w:jc w:val="both"/>
        <w:rPr>
          <w:rFonts w:ascii="Times New Roman" w:hAnsi="Times New Roman" w:cs="Times New Roman"/>
          <w:noProof/>
          <w:sz w:val="24"/>
          <w:szCs w:val="24"/>
        </w:rPr>
      </w:pPr>
      <w:r w:rsidRPr="007D7981">
        <w:rPr>
          <w:rFonts w:ascii="Times New Roman" w:hAnsi="Times New Roman" w:cs="Times New Roman"/>
          <w:noProof/>
          <w:sz w:val="24"/>
          <w:szCs w:val="24"/>
        </w:rPr>
        <w:lastRenderedPageBreak/>
        <w:drawing>
          <wp:anchor distT="0" distB="0" distL="114300" distR="114300" simplePos="0" relativeHeight="251660288" behindDoc="0" locked="0" layoutInCell="1" allowOverlap="1" wp14:anchorId="7FE7BD58" wp14:editId="4416882B">
            <wp:simplePos x="0" y="0"/>
            <wp:positionH relativeFrom="margin">
              <wp:posOffset>152400</wp:posOffset>
            </wp:positionH>
            <wp:positionV relativeFrom="paragraph">
              <wp:posOffset>0</wp:posOffset>
            </wp:positionV>
            <wp:extent cx="4800600" cy="28568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4800600" cy="2856865"/>
                    </a:xfrm>
                    <a:prstGeom prst="rect">
                      <a:avLst/>
                    </a:prstGeom>
                  </pic:spPr>
                </pic:pic>
              </a:graphicData>
            </a:graphic>
            <wp14:sizeRelH relativeFrom="margin">
              <wp14:pctWidth>0</wp14:pctWidth>
            </wp14:sizeRelH>
            <wp14:sizeRelV relativeFrom="margin">
              <wp14:pctHeight>0</wp14:pctHeight>
            </wp14:sizeRelV>
          </wp:anchor>
        </w:drawing>
      </w:r>
    </w:p>
    <w:p w14:paraId="5FCB76FC" w14:textId="77777777" w:rsidR="007D7981" w:rsidRDefault="007D7981" w:rsidP="007D7981">
      <w:pPr>
        <w:spacing w:line="360" w:lineRule="auto"/>
        <w:jc w:val="both"/>
        <w:rPr>
          <w:rFonts w:ascii="Times New Roman" w:hAnsi="Times New Roman" w:cs="Times New Roman"/>
          <w:sz w:val="24"/>
          <w:szCs w:val="24"/>
        </w:rPr>
      </w:pPr>
    </w:p>
    <w:p w14:paraId="780906DB" w14:textId="77777777" w:rsidR="007D7981" w:rsidRDefault="007D7981" w:rsidP="007D7981">
      <w:pPr>
        <w:spacing w:line="360" w:lineRule="auto"/>
        <w:jc w:val="both"/>
        <w:rPr>
          <w:rFonts w:ascii="Times New Roman" w:hAnsi="Times New Roman" w:cs="Times New Roman"/>
          <w:sz w:val="24"/>
          <w:szCs w:val="24"/>
        </w:rPr>
      </w:pPr>
    </w:p>
    <w:p w14:paraId="29AC3559" w14:textId="77777777" w:rsidR="007D7981" w:rsidRDefault="007D7981" w:rsidP="007D7981">
      <w:pPr>
        <w:spacing w:line="360" w:lineRule="auto"/>
        <w:jc w:val="both"/>
        <w:rPr>
          <w:rFonts w:ascii="Times New Roman" w:hAnsi="Times New Roman" w:cs="Times New Roman"/>
          <w:sz w:val="24"/>
          <w:szCs w:val="24"/>
        </w:rPr>
      </w:pPr>
    </w:p>
    <w:p w14:paraId="3AD73022" w14:textId="77777777" w:rsidR="007D7981" w:rsidRDefault="007D7981" w:rsidP="007D7981">
      <w:pPr>
        <w:spacing w:line="360" w:lineRule="auto"/>
        <w:jc w:val="both"/>
        <w:rPr>
          <w:rFonts w:ascii="Times New Roman" w:hAnsi="Times New Roman" w:cs="Times New Roman"/>
          <w:sz w:val="24"/>
          <w:szCs w:val="24"/>
        </w:rPr>
      </w:pPr>
    </w:p>
    <w:p w14:paraId="7CC71983" w14:textId="77777777" w:rsidR="007D7981" w:rsidRDefault="007D7981" w:rsidP="007D7981">
      <w:pPr>
        <w:spacing w:line="360" w:lineRule="auto"/>
        <w:jc w:val="both"/>
        <w:rPr>
          <w:rFonts w:ascii="Times New Roman" w:hAnsi="Times New Roman" w:cs="Times New Roman"/>
          <w:sz w:val="24"/>
          <w:szCs w:val="24"/>
        </w:rPr>
      </w:pPr>
    </w:p>
    <w:p w14:paraId="69156E1D" w14:textId="77777777" w:rsidR="007D7981" w:rsidRDefault="007D7981" w:rsidP="007D7981">
      <w:pPr>
        <w:spacing w:line="360" w:lineRule="auto"/>
        <w:jc w:val="both"/>
        <w:rPr>
          <w:rFonts w:ascii="Times New Roman" w:hAnsi="Times New Roman" w:cs="Times New Roman"/>
          <w:sz w:val="24"/>
          <w:szCs w:val="24"/>
        </w:rPr>
      </w:pPr>
    </w:p>
    <w:p w14:paraId="677E9220" w14:textId="77777777" w:rsidR="007D7981" w:rsidRDefault="007D7981" w:rsidP="007D7981">
      <w:pPr>
        <w:spacing w:line="360" w:lineRule="auto"/>
        <w:jc w:val="both"/>
        <w:rPr>
          <w:rFonts w:ascii="Times New Roman" w:hAnsi="Times New Roman" w:cs="Times New Roman"/>
          <w:sz w:val="24"/>
          <w:szCs w:val="24"/>
        </w:rPr>
      </w:pPr>
    </w:p>
    <w:p w14:paraId="358B87BA" w14:textId="77777777" w:rsidR="007D7981" w:rsidRDefault="007D7981" w:rsidP="007D7981">
      <w:pPr>
        <w:spacing w:line="360" w:lineRule="auto"/>
        <w:jc w:val="both"/>
        <w:rPr>
          <w:rFonts w:ascii="Times New Roman" w:hAnsi="Times New Roman" w:cs="Times New Roman"/>
          <w:sz w:val="24"/>
          <w:szCs w:val="24"/>
        </w:rPr>
      </w:pPr>
    </w:p>
    <w:p w14:paraId="641DAE43" w14:textId="7DB8CC88" w:rsidR="007E17C9" w:rsidRPr="007D7981" w:rsidRDefault="007E17C9"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A number of these SDH are common to several NCDs. For instance, socio-economic status is a key determinant of health status and many indicators have been developed to describe the social structure for public health purposes. The multidimensional understanding of the determinants of disease requires targeting of various preventive actions to different levels of causation. For instance, at the physiological level, clinical (pharmacological) interventions may be appropriate whereas at the level of social structure, the intervention might be directed at alleviation of poverty. Community interventions aimed at changing the pattern of behaviours that predict the occurrence of disease - for example, physical inactivity or smoking - are in midway in the scale (WHO, 2003).</w:t>
      </w:r>
    </w:p>
    <w:p w14:paraId="596C3696" w14:textId="4F8A5002" w:rsidR="007E17C9" w:rsidRPr="007D7981" w:rsidRDefault="007D7981" w:rsidP="007E17C9">
      <w:pPr>
        <w:jc w:val="both"/>
        <w:rPr>
          <w:rFonts w:ascii="Times New Roman" w:hAnsi="Times New Roman" w:cs="Times New Roman"/>
          <w:sz w:val="24"/>
          <w:szCs w:val="24"/>
        </w:rPr>
      </w:pPr>
      <w:r w:rsidRPr="007D7981">
        <w:rPr>
          <w:rFonts w:ascii="Times New Roman" w:hAnsi="Times New Roman" w:cs="Times New Roman"/>
          <w:noProof/>
          <w:sz w:val="24"/>
          <w:szCs w:val="24"/>
        </w:rPr>
        <w:drawing>
          <wp:anchor distT="0" distB="0" distL="114300" distR="114300" simplePos="0" relativeHeight="251659264" behindDoc="0" locked="0" layoutInCell="1" allowOverlap="1" wp14:anchorId="28523725" wp14:editId="74FD26AF">
            <wp:simplePos x="0" y="0"/>
            <wp:positionH relativeFrom="column">
              <wp:posOffset>762000</wp:posOffset>
            </wp:positionH>
            <wp:positionV relativeFrom="paragraph">
              <wp:posOffset>2540</wp:posOffset>
            </wp:positionV>
            <wp:extent cx="4229100" cy="3173095"/>
            <wp:effectExtent l="0" t="0" r="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229100" cy="3173095"/>
                    </a:xfrm>
                    <a:prstGeom prst="rect">
                      <a:avLst/>
                    </a:prstGeom>
                  </pic:spPr>
                </pic:pic>
              </a:graphicData>
            </a:graphic>
            <wp14:sizeRelH relativeFrom="margin">
              <wp14:pctWidth>0</wp14:pctWidth>
            </wp14:sizeRelH>
            <wp14:sizeRelV relativeFrom="margin">
              <wp14:pctHeight>0</wp14:pctHeight>
            </wp14:sizeRelV>
          </wp:anchor>
        </w:drawing>
      </w:r>
    </w:p>
    <w:p w14:paraId="408EC05C" w14:textId="24D322BE" w:rsidR="007E17C9" w:rsidRPr="007D7981" w:rsidRDefault="007E17C9" w:rsidP="007E17C9">
      <w:pPr>
        <w:jc w:val="both"/>
        <w:rPr>
          <w:rFonts w:ascii="Times New Roman" w:hAnsi="Times New Roman" w:cs="Times New Roman"/>
          <w:b/>
          <w:bCs/>
          <w:sz w:val="24"/>
          <w:szCs w:val="24"/>
        </w:rPr>
      </w:pPr>
    </w:p>
    <w:p w14:paraId="4B7B983F" w14:textId="57B5AB4F" w:rsidR="007E17C9" w:rsidRPr="007D7981" w:rsidRDefault="007E17C9" w:rsidP="007E17C9">
      <w:pPr>
        <w:jc w:val="both"/>
        <w:rPr>
          <w:rFonts w:ascii="Times New Roman" w:hAnsi="Times New Roman" w:cs="Times New Roman"/>
          <w:b/>
          <w:bCs/>
          <w:sz w:val="24"/>
          <w:szCs w:val="24"/>
        </w:rPr>
      </w:pPr>
    </w:p>
    <w:p w14:paraId="00AC2855" w14:textId="6793EA0B" w:rsidR="007E17C9" w:rsidRPr="007D7981" w:rsidRDefault="007E17C9" w:rsidP="007E17C9">
      <w:pPr>
        <w:jc w:val="both"/>
        <w:rPr>
          <w:rFonts w:ascii="Times New Roman" w:hAnsi="Times New Roman" w:cs="Times New Roman"/>
          <w:b/>
          <w:bCs/>
          <w:sz w:val="24"/>
          <w:szCs w:val="24"/>
        </w:rPr>
      </w:pPr>
    </w:p>
    <w:p w14:paraId="3086856F" w14:textId="33B9C5AC" w:rsidR="007E17C9" w:rsidRPr="007D7981" w:rsidRDefault="007E17C9" w:rsidP="007E17C9">
      <w:pPr>
        <w:jc w:val="both"/>
        <w:rPr>
          <w:rFonts w:ascii="Times New Roman" w:hAnsi="Times New Roman" w:cs="Times New Roman"/>
          <w:b/>
          <w:bCs/>
          <w:sz w:val="24"/>
          <w:szCs w:val="24"/>
        </w:rPr>
      </w:pPr>
    </w:p>
    <w:p w14:paraId="78E122DC" w14:textId="700347C8" w:rsidR="007E17C9" w:rsidRPr="007D7981" w:rsidRDefault="007E17C9" w:rsidP="007E17C9">
      <w:pPr>
        <w:jc w:val="both"/>
        <w:rPr>
          <w:rFonts w:ascii="Times New Roman" w:hAnsi="Times New Roman" w:cs="Times New Roman"/>
          <w:b/>
          <w:bCs/>
          <w:sz w:val="24"/>
          <w:szCs w:val="24"/>
        </w:rPr>
      </w:pPr>
    </w:p>
    <w:p w14:paraId="48E5B938" w14:textId="563F2564" w:rsidR="007E17C9" w:rsidRPr="007D7981" w:rsidRDefault="007E17C9" w:rsidP="007E17C9">
      <w:pPr>
        <w:jc w:val="both"/>
        <w:rPr>
          <w:rFonts w:ascii="Times New Roman" w:hAnsi="Times New Roman" w:cs="Times New Roman"/>
          <w:b/>
          <w:bCs/>
          <w:sz w:val="24"/>
          <w:szCs w:val="24"/>
        </w:rPr>
      </w:pPr>
    </w:p>
    <w:p w14:paraId="75ECE400" w14:textId="1BF3DBFF" w:rsidR="007E17C9" w:rsidRPr="007D7981" w:rsidRDefault="007E17C9" w:rsidP="007E17C9">
      <w:pPr>
        <w:jc w:val="both"/>
        <w:rPr>
          <w:rFonts w:ascii="Times New Roman" w:hAnsi="Times New Roman" w:cs="Times New Roman"/>
          <w:b/>
          <w:bCs/>
          <w:sz w:val="24"/>
          <w:szCs w:val="24"/>
        </w:rPr>
      </w:pPr>
    </w:p>
    <w:p w14:paraId="754B932F" w14:textId="6A62018F" w:rsidR="007E17C9" w:rsidRDefault="007E17C9" w:rsidP="007E17C9">
      <w:pPr>
        <w:jc w:val="both"/>
        <w:rPr>
          <w:rFonts w:ascii="Times New Roman" w:hAnsi="Times New Roman" w:cs="Times New Roman"/>
          <w:b/>
          <w:bCs/>
          <w:sz w:val="24"/>
          <w:szCs w:val="24"/>
        </w:rPr>
      </w:pPr>
    </w:p>
    <w:p w14:paraId="4CE2CAED" w14:textId="338FC93B" w:rsidR="007D7981" w:rsidRDefault="007D7981" w:rsidP="007E17C9">
      <w:pPr>
        <w:jc w:val="both"/>
        <w:rPr>
          <w:rFonts w:ascii="Times New Roman" w:hAnsi="Times New Roman" w:cs="Times New Roman"/>
          <w:b/>
          <w:bCs/>
          <w:sz w:val="24"/>
          <w:szCs w:val="24"/>
        </w:rPr>
      </w:pPr>
    </w:p>
    <w:p w14:paraId="2E279BD3" w14:textId="4091BAC1" w:rsidR="007D7981" w:rsidRDefault="007D7981" w:rsidP="007E17C9">
      <w:pPr>
        <w:jc w:val="both"/>
        <w:rPr>
          <w:rFonts w:ascii="Times New Roman" w:hAnsi="Times New Roman" w:cs="Times New Roman"/>
          <w:b/>
          <w:bCs/>
          <w:sz w:val="24"/>
          <w:szCs w:val="24"/>
        </w:rPr>
      </w:pPr>
    </w:p>
    <w:p w14:paraId="4A3CE21D" w14:textId="5057C1D2" w:rsidR="007E17C9" w:rsidRPr="007D7981" w:rsidRDefault="007E17C9" w:rsidP="007D7981">
      <w:pPr>
        <w:pStyle w:val="ListParagraph"/>
        <w:numPr>
          <w:ilvl w:val="0"/>
          <w:numId w:val="1"/>
        </w:numPr>
        <w:jc w:val="both"/>
        <w:rPr>
          <w:rFonts w:ascii="Times New Roman" w:hAnsi="Times New Roman" w:cs="Times New Roman"/>
          <w:b/>
          <w:bCs/>
          <w:sz w:val="24"/>
          <w:szCs w:val="24"/>
        </w:rPr>
      </w:pPr>
      <w:r w:rsidRPr="007D7981">
        <w:rPr>
          <w:rFonts w:ascii="Times New Roman" w:hAnsi="Times New Roman" w:cs="Times New Roman"/>
          <w:b/>
          <w:bCs/>
          <w:sz w:val="24"/>
          <w:szCs w:val="24"/>
        </w:rPr>
        <w:lastRenderedPageBreak/>
        <w:t>Disease surveillance.</w:t>
      </w:r>
    </w:p>
    <w:p w14:paraId="3CF23393" w14:textId="023ADE89" w:rsidR="007E17C9" w:rsidRPr="007D7981" w:rsidRDefault="007E17C9" w:rsidP="007E17C9">
      <w:pPr>
        <w:pStyle w:val="ListParagraph"/>
        <w:jc w:val="both"/>
        <w:rPr>
          <w:rFonts w:ascii="Times New Roman" w:hAnsi="Times New Roman" w:cs="Times New Roman"/>
          <w:b/>
          <w:bCs/>
          <w:sz w:val="24"/>
          <w:szCs w:val="24"/>
        </w:rPr>
      </w:pPr>
    </w:p>
    <w:p w14:paraId="3A95D147" w14:textId="633271C4" w:rsidR="007E17C9" w:rsidRPr="007D7981" w:rsidRDefault="007E17C9" w:rsidP="007E17C9">
      <w:pPr>
        <w:pStyle w:val="ListParagraph"/>
        <w:numPr>
          <w:ilvl w:val="0"/>
          <w:numId w:val="8"/>
        </w:numPr>
        <w:jc w:val="both"/>
        <w:rPr>
          <w:rFonts w:ascii="Times New Roman" w:hAnsi="Times New Roman" w:cs="Times New Roman"/>
          <w:b/>
          <w:bCs/>
          <w:sz w:val="24"/>
          <w:szCs w:val="24"/>
        </w:rPr>
      </w:pPr>
      <w:r w:rsidRPr="007D7981">
        <w:rPr>
          <w:rFonts w:ascii="Times New Roman" w:hAnsi="Times New Roman" w:cs="Times New Roman"/>
          <w:b/>
          <w:bCs/>
          <w:sz w:val="24"/>
          <w:szCs w:val="24"/>
        </w:rPr>
        <w:t>Definition.</w:t>
      </w:r>
    </w:p>
    <w:p w14:paraId="21435388" w14:textId="5C3DA568" w:rsidR="006D6D9D" w:rsidRPr="007D7981" w:rsidRDefault="006D6D9D"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 xml:space="preserve">This term is borrowed from a French word meaning “to watch over”. </w:t>
      </w:r>
    </w:p>
    <w:p w14:paraId="593E381C" w14:textId="52C7104F" w:rsidR="007E17C9" w:rsidRPr="007D7981" w:rsidRDefault="006D6D9D"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 xml:space="preserve">The original definition of surveillance was </w:t>
      </w:r>
      <w:r w:rsidR="007E17C9" w:rsidRPr="007D7981">
        <w:rPr>
          <w:rFonts w:ascii="Times New Roman" w:hAnsi="Times New Roman" w:cs="Times New Roman"/>
          <w:sz w:val="24"/>
          <w:szCs w:val="24"/>
        </w:rPr>
        <w:t>“the continued watchfulness over the distribution and trends of incidence through systematic collection, consolidation, and evaluation of morbidity and mortality reports and other relevant data” directly linked to timely regular dissemination of the results to “those who need to know”</w:t>
      </w:r>
      <w:r w:rsidRPr="007D7981">
        <w:rPr>
          <w:rFonts w:ascii="Times New Roman" w:hAnsi="Times New Roman" w:cs="Times New Roman"/>
          <w:sz w:val="24"/>
          <w:szCs w:val="24"/>
        </w:rPr>
        <w:t xml:space="preserve"> (Langmuir, 1963)</w:t>
      </w:r>
    </w:p>
    <w:p w14:paraId="60403142" w14:textId="5FBBE362" w:rsidR="006D6D9D" w:rsidRPr="007D7981" w:rsidRDefault="006D6D9D"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In the 21</w:t>
      </w:r>
      <w:r w:rsidRPr="007D7981">
        <w:rPr>
          <w:rFonts w:ascii="Times New Roman" w:hAnsi="Times New Roman" w:cs="Times New Roman"/>
          <w:sz w:val="24"/>
          <w:szCs w:val="24"/>
          <w:vertAlign w:val="superscript"/>
        </w:rPr>
        <w:t xml:space="preserve">st </w:t>
      </w:r>
      <w:r w:rsidRPr="007D7981">
        <w:rPr>
          <w:rFonts w:ascii="Times New Roman" w:hAnsi="Times New Roman" w:cs="Times New Roman"/>
          <w:sz w:val="24"/>
          <w:szCs w:val="24"/>
        </w:rPr>
        <w:t>World Health Assembly (WHA) of 1968 later modified this definition to “systematic collection and use of epidemiologic information for the planning, implementation, and assessment of disease control” (WHO, 1968)</w:t>
      </w:r>
    </w:p>
    <w:p w14:paraId="331EB60B" w14:textId="51809B9E" w:rsidR="006D6D9D" w:rsidRPr="007D7981" w:rsidRDefault="006D6D9D" w:rsidP="006D6D9D">
      <w:pPr>
        <w:jc w:val="both"/>
        <w:rPr>
          <w:rFonts w:ascii="Times New Roman" w:hAnsi="Times New Roman" w:cs="Times New Roman"/>
          <w:i/>
          <w:iCs/>
          <w:sz w:val="24"/>
          <w:szCs w:val="24"/>
        </w:rPr>
      </w:pPr>
      <w:r w:rsidRPr="007D7981">
        <w:rPr>
          <w:rFonts w:ascii="Times New Roman" w:hAnsi="Times New Roman" w:cs="Times New Roman"/>
          <w:i/>
          <w:iCs/>
          <w:sz w:val="24"/>
          <w:szCs w:val="24"/>
        </w:rPr>
        <w:t>Langmuir, A. D. The surveillance of communicable diseases of national importance. The New England Journal of Medicine 268, 182-192. 1963.</w:t>
      </w:r>
    </w:p>
    <w:p w14:paraId="4F43C542" w14:textId="49129863" w:rsidR="006D6D9D" w:rsidRPr="007D7981" w:rsidRDefault="006D6D9D" w:rsidP="007E17C9">
      <w:pPr>
        <w:jc w:val="both"/>
        <w:rPr>
          <w:rFonts w:ascii="Times New Roman" w:hAnsi="Times New Roman" w:cs="Times New Roman"/>
          <w:i/>
          <w:iCs/>
          <w:sz w:val="24"/>
          <w:szCs w:val="24"/>
        </w:rPr>
      </w:pPr>
      <w:r w:rsidRPr="007D7981">
        <w:rPr>
          <w:rFonts w:ascii="Times New Roman" w:hAnsi="Times New Roman" w:cs="Times New Roman"/>
          <w:i/>
          <w:iCs/>
          <w:sz w:val="24"/>
          <w:szCs w:val="24"/>
        </w:rPr>
        <w:t>World Health Organization. Report of the technical discussions at the twenty-first World Health Assembly on "national and global surveillance of communicable diseases". A2 1. 18-5- 1968. Geneva, WHO.</w:t>
      </w:r>
    </w:p>
    <w:p w14:paraId="2E9819FF" w14:textId="0804E857" w:rsidR="006D6D9D" w:rsidRPr="007D7981" w:rsidRDefault="006D6D9D" w:rsidP="006D6D9D">
      <w:pPr>
        <w:pStyle w:val="ListParagraph"/>
        <w:numPr>
          <w:ilvl w:val="0"/>
          <w:numId w:val="8"/>
        </w:numPr>
        <w:jc w:val="both"/>
        <w:rPr>
          <w:rFonts w:ascii="Times New Roman" w:hAnsi="Times New Roman" w:cs="Times New Roman"/>
          <w:b/>
          <w:bCs/>
          <w:sz w:val="24"/>
          <w:szCs w:val="24"/>
        </w:rPr>
      </w:pPr>
      <w:r w:rsidRPr="007D7981">
        <w:rPr>
          <w:rFonts w:ascii="Times New Roman" w:hAnsi="Times New Roman" w:cs="Times New Roman"/>
          <w:b/>
          <w:bCs/>
          <w:sz w:val="24"/>
          <w:szCs w:val="24"/>
        </w:rPr>
        <w:t>Components of WHO step-wise surveillance of risk factors of NCDs.</w:t>
      </w:r>
    </w:p>
    <w:p w14:paraId="7BE2A468" w14:textId="4B8B91E2" w:rsidR="006C6929" w:rsidRPr="007D7981" w:rsidRDefault="007D7981" w:rsidP="007D7981">
      <w:pPr>
        <w:spacing w:line="360" w:lineRule="auto"/>
        <w:jc w:val="both"/>
        <w:rPr>
          <w:rFonts w:ascii="Times New Roman" w:hAnsi="Times New Roman" w:cs="Times New Roman"/>
          <w:sz w:val="24"/>
          <w:szCs w:val="24"/>
        </w:rPr>
      </w:pPr>
      <w:r w:rsidRPr="007D7981">
        <w:rPr>
          <w:rFonts w:ascii="Times New Roman" w:hAnsi="Times New Roman" w:cs="Times New Roman"/>
          <w:noProof/>
          <w:sz w:val="24"/>
          <w:szCs w:val="24"/>
        </w:rPr>
        <w:drawing>
          <wp:anchor distT="0" distB="0" distL="114300" distR="114300" simplePos="0" relativeHeight="251662336" behindDoc="0" locked="0" layoutInCell="1" allowOverlap="1" wp14:anchorId="541170BD" wp14:editId="325DE85F">
            <wp:simplePos x="0" y="0"/>
            <wp:positionH relativeFrom="margin">
              <wp:posOffset>942975</wp:posOffset>
            </wp:positionH>
            <wp:positionV relativeFrom="paragraph">
              <wp:posOffset>2077085</wp:posOffset>
            </wp:positionV>
            <wp:extent cx="3638550" cy="2263540"/>
            <wp:effectExtent l="0" t="0" r="0" b="38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638550" cy="2263540"/>
                    </a:xfrm>
                    <a:prstGeom prst="rect">
                      <a:avLst/>
                    </a:prstGeom>
                  </pic:spPr>
                </pic:pic>
              </a:graphicData>
            </a:graphic>
            <wp14:sizeRelH relativeFrom="margin">
              <wp14:pctWidth>0</wp14:pctWidth>
            </wp14:sizeRelH>
            <wp14:sizeRelV relativeFrom="margin">
              <wp14:pctHeight>0</wp14:pctHeight>
            </wp14:sizeRelV>
          </wp:anchor>
        </w:drawing>
      </w:r>
      <w:r w:rsidR="006C6929" w:rsidRPr="007D7981">
        <w:rPr>
          <w:rFonts w:ascii="Times New Roman" w:hAnsi="Times New Roman" w:cs="Times New Roman"/>
          <w:sz w:val="24"/>
          <w:szCs w:val="24"/>
        </w:rPr>
        <w:t xml:space="preserve">The WHO-STEPwise approach to surveillance (STEPS) is the </w:t>
      </w:r>
      <w:r w:rsidR="006D6D9D" w:rsidRPr="007D7981">
        <w:rPr>
          <w:rFonts w:ascii="Times New Roman" w:hAnsi="Times New Roman" w:cs="Times New Roman"/>
          <w:sz w:val="24"/>
          <w:szCs w:val="24"/>
        </w:rPr>
        <w:t>WHO</w:t>
      </w:r>
      <w:r w:rsidR="006C6929" w:rsidRPr="007D7981">
        <w:rPr>
          <w:rFonts w:ascii="Times New Roman" w:hAnsi="Times New Roman" w:cs="Times New Roman"/>
          <w:sz w:val="24"/>
          <w:szCs w:val="24"/>
        </w:rPr>
        <w:t>-</w:t>
      </w:r>
      <w:r w:rsidR="006D6D9D" w:rsidRPr="007D7981">
        <w:rPr>
          <w:rFonts w:ascii="Times New Roman" w:hAnsi="Times New Roman" w:cs="Times New Roman"/>
          <w:sz w:val="24"/>
          <w:szCs w:val="24"/>
        </w:rPr>
        <w:t xml:space="preserve">recommended NCD surveillance tool. This framework unifies all WHO approaches to defining core variables for population-based surveys, surveillance and monitoring instruments. The goal is to achieve data comparability over time and between countries. STEPS </w:t>
      </w:r>
      <w:r w:rsidR="006C6929" w:rsidRPr="007D7981">
        <w:rPr>
          <w:rFonts w:ascii="Times New Roman" w:hAnsi="Times New Roman" w:cs="Times New Roman"/>
          <w:sz w:val="24"/>
          <w:szCs w:val="24"/>
        </w:rPr>
        <w:t>offer</w:t>
      </w:r>
      <w:r w:rsidR="006D6D9D" w:rsidRPr="007D7981">
        <w:rPr>
          <w:rFonts w:ascii="Times New Roman" w:hAnsi="Times New Roman" w:cs="Times New Roman"/>
          <w:sz w:val="24"/>
          <w:szCs w:val="24"/>
        </w:rPr>
        <w:t xml:space="preserve"> an entry point for </w:t>
      </w:r>
      <w:r w:rsidR="006C6929" w:rsidRPr="007D7981">
        <w:rPr>
          <w:rFonts w:ascii="Times New Roman" w:hAnsi="Times New Roman" w:cs="Times New Roman"/>
          <w:sz w:val="24"/>
          <w:szCs w:val="24"/>
        </w:rPr>
        <w:t>low- and middle-income</w:t>
      </w:r>
      <w:r w:rsidR="006D6D9D" w:rsidRPr="007D7981">
        <w:rPr>
          <w:rFonts w:ascii="Times New Roman" w:hAnsi="Times New Roman" w:cs="Times New Roman"/>
          <w:sz w:val="24"/>
          <w:szCs w:val="24"/>
        </w:rPr>
        <w:t xml:space="preserve"> countries to get started in NCD activities.</w:t>
      </w:r>
      <w:r w:rsidR="006C6929" w:rsidRPr="007D7981">
        <w:rPr>
          <w:rFonts w:ascii="Times New Roman" w:hAnsi="Times New Roman" w:cs="Times New Roman"/>
          <w:sz w:val="24"/>
          <w:szCs w:val="24"/>
        </w:rPr>
        <w:t xml:space="preserve"> The recommended surveillance measures are categorised according to the degree of complexity and cost in obtaining the data, starting with questionnaire-based assessment to biochemical measurements. The main components are as outlined below.</w:t>
      </w:r>
    </w:p>
    <w:p w14:paraId="72A95EB5" w14:textId="3B65CD8E" w:rsidR="006C6929" w:rsidRPr="007D7981" w:rsidRDefault="006C6929" w:rsidP="006D6D9D">
      <w:pPr>
        <w:jc w:val="both"/>
        <w:rPr>
          <w:rFonts w:ascii="Times New Roman" w:hAnsi="Times New Roman" w:cs="Times New Roman"/>
          <w:sz w:val="24"/>
          <w:szCs w:val="24"/>
        </w:rPr>
      </w:pPr>
    </w:p>
    <w:p w14:paraId="631B46B5" w14:textId="77777777" w:rsidR="006C6929" w:rsidRPr="007D7981" w:rsidRDefault="006C6929" w:rsidP="006D6D9D">
      <w:pPr>
        <w:jc w:val="both"/>
        <w:rPr>
          <w:rFonts w:ascii="Times New Roman" w:hAnsi="Times New Roman" w:cs="Times New Roman"/>
          <w:sz w:val="24"/>
          <w:szCs w:val="24"/>
        </w:rPr>
      </w:pPr>
    </w:p>
    <w:p w14:paraId="18E733A8" w14:textId="77777777" w:rsidR="006C6929" w:rsidRPr="007D7981" w:rsidRDefault="006C6929" w:rsidP="006D6D9D">
      <w:pPr>
        <w:jc w:val="both"/>
        <w:rPr>
          <w:rFonts w:ascii="Times New Roman" w:hAnsi="Times New Roman" w:cs="Times New Roman"/>
          <w:sz w:val="24"/>
          <w:szCs w:val="24"/>
        </w:rPr>
      </w:pPr>
    </w:p>
    <w:p w14:paraId="61DADD33" w14:textId="77777777" w:rsidR="006C6929" w:rsidRPr="007D7981" w:rsidRDefault="006C6929" w:rsidP="006D6D9D">
      <w:pPr>
        <w:jc w:val="both"/>
        <w:rPr>
          <w:rFonts w:ascii="Times New Roman" w:hAnsi="Times New Roman" w:cs="Times New Roman"/>
          <w:sz w:val="24"/>
          <w:szCs w:val="24"/>
        </w:rPr>
      </w:pPr>
    </w:p>
    <w:p w14:paraId="4B85D8B2" w14:textId="77777777" w:rsidR="006C6929" w:rsidRPr="007D7981" w:rsidRDefault="006C6929" w:rsidP="006D6D9D">
      <w:pPr>
        <w:jc w:val="both"/>
        <w:rPr>
          <w:rFonts w:ascii="Times New Roman" w:hAnsi="Times New Roman" w:cs="Times New Roman"/>
          <w:sz w:val="24"/>
          <w:szCs w:val="24"/>
        </w:rPr>
      </w:pPr>
    </w:p>
    <w:p w14:paraId="1C97D966" w14:textId="77777777" w:rsidR="006C6929" w:rsidRPr="007D7981" w:rsidRDefault="006C6929" w:rsidP="006D6D9D">
      <w:pPr>
        <w:jc w:val="both"/>
        <w:rPr>
          <w:rFonts w:ascii="Times New Roman" w:hAnsi="Times New Roman" w:cs="Times New Roman"/>
          <w:sz w:val="24"/>
          <w:szCs w:val="24"/>
        </w:rPr>
      </w:pPr>
    </w:p>
    <w:p w14:paraId="11A65A22" w14:textId="77777777" w:rsidR="006C6929" w:rsidRPr="007D7981" w:rsidRDefault="006C6929" w:rsidP="006D6D9D">
      <w:pPr>
        <w:jc w:val="both"/>
        <w:rPr>
          <w:rFonts w:ascii="Times New Roman" w:hAnsi="Times New Roman" w:cs="Times New Roman"/>
          <w:sz w:val="24"/>
          <w:szCs w:val="24"/>
        </w:rPr>
      </w:pPr>
    </w:p>
    <w:p w14:paraId="13EDAB2D" w14:textId="7E6C5118" w:rsidR="006C6929" w:rsidRPr="007D7981" w:rsidRDefault="006C6929" w:rsidP="006D6D9D">
      <w:pPr>
        <w:jc w:val="both"/>
        <w:rPr>
          <w:rFonts w:ascii="Times New Roman" w:hAnsi="Times New Roman" w:cs="Times New Roman"/>
          <w:sz w:val="24"/>
          <w:szCs w:val="24"/>
        </w:rPr>
      </w:pPr>
      <w:r w:rsidRPr="007D7981">
        <w:rPr>
          <w:rFonts w:ascii="Times New Roman" w:hAnsi="Times New Roman" w:cs="Times New Roman"/>
          <w:noProof/>
          <w:sz w:val="24"/>
          <w:szCs w:val="24"/>
        </w:rPr>
        <w:lastRenderedPageBreak/>
        <w:drawing>
          <wp:anchor distT="0" distB="0" distL="114300" distR="114300" simplePos="0" relativeHeight="251661312" behindDoc="0" locked="0" layoutInCell="1" allowOverlap="1" wp14:anchorId="1DE45AF2" wp14:editId="1AB86C83">
            <wp:simplePos x="0" y="0"/>
            <wp:positionH relativeFrom="margin">
              <wp:posOffset>647700</wp:posOffset>
            </wp:positionH>
            <wp:positionV relativeFrom="paragraph">
              <wp:posOffset>9525</wp:posOffset>
            </wp:positionV>
            <wp:extent cx="4086225" cy="3064510"/>
            <wp:effectExtent l="0" t="0" r="9525" b="2540"/>
            <wp:wrapSquare wrapText="bothSides"/>
            <wp:docPr id="5" name="Picture 5" descr="Image result for who stepwise approach to surveil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ho stepwise approach to surveilla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86225" cy="3064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7008D9" w14:textId="46C4882A" w:rsidR="006C6929" w:rsidRPr="007D7981" w:rsidRDefault="006C6929" w:rsidP="006C6929">
      <w:pPr>
        <w:rPr>
          <w:rFonts w:ascii="Times New Roman" w:hAnsi="Times New Roman" w:cs="Times New Roman"/>
          <w:sz w:val="24"/>
          <w:szCs w:val="24"/>
        </w:rPr>
      </w:pPr>
    </w:p>
    <w:p w14:paraId="7CA8A093" w14:textId="6C252820" w:rsidR="006C6929" w:rsidRPr="007D7981" w:rsidRDefault="006C6929" w:rsidP="006C6929">
      <w:pPr>
        <w:rPr>
          <w:rFonts w:ascii="Times New Roman" w:hAnsi="Times New Roman" w:cs="Times New Roman"/>
          <w:sz w:val="24"/>
          <w:szCs w:val="24"/>
        </w:rPr>
      </w:pPr>
    </w:p>
    <w:p w14:paraId="68815639" w14:textId="44D5B9A0" w:rsidR="006C6929" w:rsidRPr="007D7981" w:rsidRDefault="006C6929" w:rsidP="006C6929">
      <w:pPr>
        <w:rPr>
          <w:rFonts w:ascii="Times New Roman" w:hAnsi="Times New Roman" w:cs="Times New Roman"/>
          <w:sz w:val="24"/>
          <w:szCs w:val="24"/>
        </w:rPr>
      </w:pPr>
    </w:p>
    <w:p w14:paraId="563EFEB3" w14:textId="49BDEF1F" w:rsidR="006C6929" w:rsidRPr="007D7981" w:rsidRDefault="006C6929" w:rsidP="006C6929">
      <w:pPr>
        <w:rPr>
          <w:rFonts w:ascii="Times New Roman" w:hAnsi="Times New Roman" w:cs="Times New Roman"/>
          <w:sz w:val="24"/>
          <w:szCs w:val="24"/>
        </w:rPr>
      </w:pPr>
    </w:p>
    <w:p w14:paraId="168B46CA" w14:textId="782774A4" w:rsidR="006C6929" w:rsidRPr="007D7981" w:rsidRDefault="006C6929" w:rsidP="006C6929">
      <w:pPr>
        <w:rPr>
          <w:rFonts w:ascii="Times New Roman" w:hAnsi="Times New Roman" w:cs="Times New Roman"/>
          <w:sz w:val="24"/>
          <w:szCs w:val="24"/>
        </w:rPr>
      </w:pPr>
    </w:p>
    <w:p w14:paraId="1CB2BFCD" w14:textId="1074D7A5" w:rsidR="006C6929" w:rsidRPr="007D7981" w:rsidRDefault="006C6929" w:rsidP="006C6929">
      <w:pPr>
        <w:rPr>
          <w:rFonts w:ascii="Times New Roman" w:hAnsi="Times New Roman" w:cs="Times New Roman"/>
          <w:sz w:val="24"/>
          <w:szCs w:val="24"/>
        </w:rPr>
      </w:pPr>
    </w:p>
    <w:p w14:paraId="6D8182F2" w14:textId="1C896BFC" w:rsidR="006C6929" w:rsidRPr="007D7981" w:rsidRDefault="006C6929" w:rsidP="006C6929">
      <w:pPr>
        <w:rPr>
          <w:rFonts w:ascii="Times New Roman" w:hAnsi="Times New Roman" w:cs="Times New Roman"/>
          <w:sz w:val="24"/>
          <w:szCs w:val="24"/>
        </w:rPr>
      </w:pPr>
    </w:p>
    <w:p w14:paraId="5F0075F1" w14:textId="2FB97EC3" w:rsidR="006C6929" w:rsidRPr="007D7981" w:rsidRDefault="006C6929" w:rsidP="006C6929">
      <w:pPr>
        <w:rPr>
          <w:rFonts w:ascii="Times New Roman" w:hAnsi="Times New Roman" w:cs="Times New Roman"/>
          <w:sz w:val="24"/>
          <w:szCs w:val="24"/>
        </w:rPr>
      </w:pPr>
    </w:p>
    <w:p w14:paraId="7A40BB01" w14:textId="20531019" w:rsidR="006C6929" w:rsidRPr="007D7981" w:rsidRDefault="006C6929" w:rsidP="006C6929">
      <w:pPr>
        <w:rPr>
          <w:rFonts w:ascii="Times New Roman" w:hAnsi="Times New Roman" w:cs="Times New Roman"/>
          <w:sz w:val="24"/>
          <w:szCs w:val="24"/>
        </w:rPr>
      </w:pPr>
    </w:p>
    <w:p w14:paraId="2D9D56F1" w14:textId="081D1673" w:rsidR="006C6929" w:rsidRPr="007D7981" w:rsidRDefault="006C6929" w:rsidP="006C6929">
      <w:pPr>
        <w:rPr>
          <w:rFonts w:ascii="Times New Roman" w:hAnsi="Times New Roman" w:cs="Times New Roman"/>
          <w:sz w:val="24"/>
          <w:szCs w:val="24"/>
        </w:rPr>
      </w:pPr>
    </w:p>
    <w:p w14:paraId="5EF2E469" w14:textId="420EE8C8" w:rsidR="006C6929" w:rsidRPr="007D7981" w:rsidRDefault="007D7981" w:rsidP="006C6929">
      <w:pPr>
        <w:rPr>
          <w:rFonts w:ascii="Times New Roman" w:hAnsi="Times New Roman" w:cs="Times New Roman"/>
          <w:sz w:val="24"/>
          <w:szCs w:val="24"/>
        </w:rPr>
      </w:pPr>
      <w:r w:rsidRPr="007D7981">
        <w:rPr>
          <w:rFonts w:ascii="Times New Roman" w:hAnsi="Times New Roman" w:cs="Times New Roman"/>
          <w:noProof/>
          <w:sz w:val="24"/>
          <w:szCs w:val="24"/>
        </w:rPr>
        <w:drawing>
          <wp:anchor distT="0" distB="0" distL="114300" distR="114300" simplePos="0" relativeHeight="251663360" behindDoc="0" locked="0" layoutInCell="1" allowOverlap="1" wp14:anchorId="1379F308" wp14:editId="18E6E419">
            <wp:simplePos x="0" y="0"/>
            <wp:positionH relativeFrom="column">
              <wp:posOffset>238125</wp:posOffset>
            </wp:positionH>
            <wp:positionV relativeFrom="paragraph">
              <wp:posOffset>12065</wp:posOffset>
            </wp:positionV>
            <wp:extent cx="5143500" cy="289877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143500" cy="2898775"/>
                    </a:xfrm>
                    <a:prstGeom prst="rect">
                      <a:avLst/>
                    </a:prstGeom>
                  </pic:spPr>
                </pic:pic>
              </a:graphicData>
            </a:graphic>
            <wp14:sizeRelH relativeFrom="margin">
              <wp14:pctWidth>0</wp14:pctWidth>
            </wp14:sizeRelH>
            <wp14:sizeRelV relativeFrom="margin">
              <wp14:pctHeight>0</wp14:pctHeight>
            </wp14:sizeRelV>
          </wp:anchor>
        </w:drawing>
      </w:r>
    </w:p>
    <w:p w14:paraId="6F1C0CAE" w14:textId="67DEADCD" w:rsidR="007D7981" w:rsidRDefault="007D7981" w:rsidP="006C6929">
      <w:pPr>
        <w:rPr>
          <w:rFonts w:ascii="Times New Roman" w:hAnsi="Times New Roman" w:cs="Times New Roman"/>
          <w:sz w:val="24"/>
          <w:szCs w:val="24"/>
        </w:rPr>
      </w:pPr>
    </w:p>
    <w:p w14:paraId="3499E239" w14:textId="3EC43F99" w:rsidR="006C6929" w:rsidRPr="007D7981" w:rsidRDefault="006C6929" w:rsidP="006C6929">
      <w:pPr>
        <w:pStyle w:val="ListParagraph"/>
        <w:numPr>
          <w:ilvl w:val="0"/>
          <w:numId w:val="1"/>
        </w:numPr>
        <w:rPr>
          <w:rFonts w:ascii="Times New Roman" w:hAnsi="Times New Roman" w:cs="Times New Roman"/>
          <w:b/>
          <w:bCs/>
          <w:sz w:val="24"/>
          <w:szCs w:val="24"/>
        </w:rPr>
      </w:pPr>
      <w:r w:rsidRPr="007D7981">
        <w:rPr>
          <w:rFonts w:ascii="Times New Roman" w:hAnsi="Times New Roman" w:cs="Times New Roman"/>
          <w:b/>
          <w:bCs/>
          <w:sz w:val="24"/>
          <w:szCs w:val="24"/>
        </w:rPr>
        <w:t>Rationale for the selection of risk factors for surveillance.</w:t>
      </w:r>
    </w:p>
    <w:p w14:paraId="09C8A34E" w14:textId="4AB7C939" w:rsidR="006C6929" w:rsidRPr="007D7981" w:rsidRDefault="006C6929"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The rationale for the selection of a core risk factor for disease surveillance</w:t>
      </w:r>
      <w:r w:rsidR="00D23649" w:rsidRPr="007D7981">
        <w:rPr>
          <w:rFonts w:ascii="Times New Roman" w:hAnsi="Times New Roman" w:cs="Times New Roman"/>
          <w:sz w:val="24"/>
          <w:szCs w:val="24"/>
        </w:rPr>
        <w:t xml:space="preserve"> include the following:</w:t>
      </w:r>
    </w:p>
    <w:p w14:paraId="3C6C155F" w14:textId="77777777" w:rsidR="00D23649" w:rsidRPr="007D7981" w:rsidRDefault="00D23649" w:rsidP="007D7981">
      <w:pPr>
        <w:pStyle w:val="ListParagraph"/>
        <w:numPr>
          <w:ilvl w:val="0"/>
          <w:numId w:val="9"/>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They have the greatest impact on NCD mortality and morbidity.</w:t>
      </w:r>
    </w:p>
    <w:p w14:paraId="5B1386EE" w14:textId="77777777" w:rsidR="00D23649" w:rsidRPr="007D7981" w:rsidRDefault="00D23649" w:rsidP="007D7981">
      <w:pPr>
        <w:pStyle w:val="ListParagraph"/>
        <w:numPr>
          <w:ilvl w:val="0"/>
          <w:numId w:val="9"/>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There is evidence that their modification is possible and effective in primary prevention.</w:t>
      </w:r>
    </w:p>
    <w:p w14:paraId="79B65692" w14:textId="77777777" w:rsidR="00D23649" w:rsidRPr="007D7981" w:rsidRDefault="00D23649" w:rsidP="007D7981">
      <w:pPr>
        <w:pStyle w:val="ListParagraph"/>
        <w:numPr>
          <w:ilvl w:val="0"/>
          <w:numId w:val="9"/>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The measurement has some validity.</w:t>
      </w:r>
    </w:p>
    <w:p w14:paraId="713C1995" w14:textId="77777777" w:rsidR="00D23649" w:rsidRPr="007D7981" w:rsidRDefault="00D23649" w:rsidP="007D7981">
      <w:pPr>
        <w:pStyle w:val="ListParagraph"/>
        <w:numPr>
          <w:ilvl w:val="0"/>
          <w:numId w:val="9"/>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The measurement can be applied in both developed and developing countries, and comparison across countries will be meaningful.</w:t>
      </w:r>
    </w:p>
    <w:p w14:paraId="07AF6607" w14:textId="014F24F1" w:rsidR="00D23649" w:rsidRDefault="00D23649" w:rsidP="007D7981">
      <w:pPr>
        <w:pStyle w:val="ListParagraph"/>
        <w:numPr>
          <w:ilvl w:val="0"/>
          <w:numId w:val="9"/>
        </w:num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The measurement can be obtained while following appropriate ethical standards.</w:t>
      </w:r>
    </w:p>
    <w:p w14:paraId="5448D67D" w14:textId="77777777" w:rsidR="00F238A1" w:rsidRDefault="00F238A1" w:rsidP="00F238A1">
      <w:pPr>
        <w:pStyle w:val="ListParagraph"/>
        <w:spacing w:line="360" w:lineRule="auto"/>
        <w:jc w:val="both"/>
        <w:rPr>
          <w:rFonts w:ascii="Times New Roman" w:hAnsi="Times New Roman" w:cs="Times New Roman"/>
          <w:sz w:val="24"/>
          <w:szCs w:val="24"/>
        </w:rPr>
      </w:pPr>
    </w:p>
    <w:p w14:paraId="4666114B" w14:textId="1F1260C5" w:rsidR="006C6929" w:rsidRPr="007D7981" w:rsidRDefault="00D23649" w:rsidP="00D23649">
      <w:pPr>
        <w:pStyle w:val="ListParagraph"/>
        <w:numPr>
          <w:ilvl w:val="0"/>
          <w:numId w:val="1"/>
        </w:numPr>
        <w:rPr>
          <w:rFonts w:ascii="Times New Roman" w:hAnsi="Times New Roman" w:cs="Times New Roman"/>
          <w:b/>
          <w:bCs/>
          <w:sz w:val="24"/>
          <w:szCs w:val="24"/>
        </w:rPr>
      </w:pPr>
      <w:r w:rsidRPr="007D7981">
        <w:rPr>
          <w:rFonts w:ascii="Times New Roman" w:hAnsi="Times New Roman" w:cs="Times New Roman"/>
          <w:b/>
          <w:bCs/>
          <w:sz w:val="24"/>
          <w:szCs w:val="24"/>
        </w:rPr>
        <w:lastRenderedPageBreak/>
        <w:t>The association between tobacco use and:</w:t>
      </w:r>
    </w:p>
    <w:p w14:paraId="1F173704" w14:textId="77777777" w:rsidR="00D23649" w:rsidRPr="007D7981" w:rsidRDefault="00D23649" w:rsidP="00D23649">
      <w:pPr>
        <w:pStyle w:val="ListParagraph"/>
        <w:rPr>
          <w:rFonts w:ascii="Times New Roman" w:hAnsi="Times New Roman" w:cs="Times New Roman"/>
          <w:b/>
          <w:bCs/>
          <w:sz w:val="24"/>
          <w:szCs w:val="24"/>
        </w:rPr>
      </w:pPr>
    </w:p>
    <w:p w14:paraId="4B2DF02B" w14:textId="4C7FA1EC" w:rsidR="00D23649" w:rsidRPr="007D7981" w:rsidRDefault="00D23649" w:rsidP="00D23649">
      <w:pPr>
        <w:pStyle w:val="ListParagraph"/>
        <w:numPr>
          <w:ilvl w:val="0"/>
          <w:numId w:val="10"/>
        </w:numPr>
        <w:rPr>
          <w:rFonts w:ascii="Times New Roman" w:hAnsi="Times New Roman" w:cs="Times New Roman"/>
          <w:b/>
          <w:bCs/>
          <w:sz w:val="24"/>
          <w:szCs w:val="24"/>
        </w:rPr>
      </w:pPr>
      <w:r w:rsidRPr="007D7981">
        <w:rPr>
          <w:rFonts w:ascii="Times New Roman" w:hAnsi="Times New Roman" w:cs="Times New Roman"/>
          <w:b/>
          <w:bCs/>
          <w:sz w:val="24"/>
          <w:szCs w:val="24"/>
        </w:rPr>
        <w:t>Cancers</w:t>
      </w:r>
    </w:p>
    <w:p w14:paraId="5773B147" w14:textId="15007242" w:rsidR="00D23649" w:rsidRPr="007D7981" w:rsidRDefault="00E36942"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Smoking is a major risk factor for the development of cancers of the lung, larynx, mouth, oesophagus, urinary bladder, kidney, liver, stomach, pancreas, colon and rectum, and cervix, as well as acute myeloid leukaemia. Summary of evidence supporting this association was obtained from published systematic reviews and meta-analysis, and presented in the tables below.</w:t>
      </w:r>
    </w:p>
    <w:tbl>
      <w:tblPr>
        <w:tblStyle w:val="TableGrid"/>
        <w:tblW w:w="0" w:type="auto"/>
        <w:tblLook w:val="04A0" w:firstRow="1" w:lastRow="0" w:firstColumn="1" w:lastColumn="0" w:noHBand="0" w:noVBand="1"/>
      </w:tblPr>
      <w:tblGrid>
        <w:gridCol w:w="1257"/>
        <w:gridCol w:w="1720"/>
        <w:gridCol w:w="2379"/>
        <w:gridCol w:w="1036"/>
        <w:gridCol w:w="7"/>
        <w:gridCol w:w="2617"/>
      </w:tblGrid>
      <w:tr w:rsidR="00332641" w:rsidRPr="007D7981" w14:paraId="03F49258" w14:textId="77777777" w:rsidTr="007D7981">
        <w:tc>
          <w:tcPr>
            <w:tcW w:w="988" w:type="dxa"/>
          </w:tcPr>
          <w:p w14:paraId="51FBC91F" w14:textId="0D101849" w:rsidR="00F3718A" w:rsidRPr="007D7981" w:rsidRDefault="00F3718A" w:rsidP="00332641">
            <w:pPr>
              <w:jc w:val="both"/>
              <w:rPr>
                <w:rFonts w:ascii="Times New Roman" w:hAnsi="Times New Roman" w:cs="Times New Roman"/>
                <w:b/>
                <w:bCs/>
                <w:sz w:val="24"/>
                <w:szCs w:val="24"/>
              </w:rPr>
            </w:pPr>
            <w:r w:rsidRPr="007D7981">
              <w:rPr>
                <w:rFonts w:ascii="Times New Roman" w:hAnsi="Times New Roman" w:cs="Times New Roman"/>
                <w:b/>
                <w:bCs/>
                <w:sz w:val="24"/>
                <w:szCs w:val="24"/>
              </w:rPr>
              <w:t>Cancer</w:t>
            </w:r>
          </w:p>
        </w:tc>
        <w:tc>
          <w:tcPr>
            <w:tcW w:w="1776" w:type="dxa"/>
          </w:tcPr>
          <w:p w14:paraId="435F84ED" w14:textId="07C1C8E2" w:rsidR="00F3718A" w:rsidRPr="007D7981" w:rsidRDefault="00F3718A" w:rsidP="00332641">
            <w:pPr>
              <w:jc w:val="both"/>
              <w:rPr>
                <w:rFonts w:ascii="Times New Roman" w:hAnsi="Times New Roman" w:cs="Times New Roman"/>
                <w:b/>
                <w:bCs/>
                <w:sz w:val="24"/>
                <w:szCs w:val="24"/>
              </w:rPr>
            </w:pPr>
            <w:r w:rsidRPr="007D7981">
              <w:rPr>
                <w:rFonts w:ascii="Times New Roman" w:hAnsi="Times New Roman" w:cs="Times New Roman"/>
                <w:b/>
                <w:bCs/>
                <w:sz w:val="24"/>
                <w:szCs w:val="24"/>
              </w:rPr>
              <w:t>Study</w:t>
            </w:r>
          </w:p>
        </w:tc>
        <w:tc>
          <w:tcPr>
            <w:tcW w:w="2450" w:type="dxa"/>
          </w:tcPr>
          <w:p w14:paraId="427B49B2" w14:textId="4D67AF93" w:rsidR="00F3718A" w:rsidRPr="007D7981" w:rsidRDefault="00F3718A" w:rsidP="00332641">
            <w:pPr>
              <w:jc w:val="both"/>
              <w:rPr>
                <w:rFonts w:ascii="Times New Roman" w:hAnsi="Times New Roman" w:cs="Times New Roman"/>
                <w:b/>
                <w:bCs/>
                <w:sz w:val="24"/>
                <w:szCs w:val="24"/>
              </w:rPr>
            </w:pPr>
            <w:r w:rsidRPr="007D7981">
              <w:rPr>
                <w:rFonts w:ascii="Times New Roman" w:hAnsi="Times New Roman" w:cs="Times New Roman"/>
                <w:b/>
                <w:bCs/>
                <w:sz w:val="24"/>
                <w:szCs w:val="24"/>
              </w:rPr>
              <w:t>Number of participants</w:t>
            </w:r>
          </w:p>
        </w:tc>
        <w:tc>
          <w:tcPr>
            <w:tcW w:w="3802" w:type="dxa"/>
            <w:gridSpan w:val="3"/>
          </w:tcPr>
          <w:p w14:paraId="0EC70417" w14:textId="732FBD2B" w:rsidR="00F3718A" w:rsidRPr="007D7981" w:rsidRDefault="00F3718A" w:rsidP="00332641">
            <w:pPr>
              <w:jc w:val="both"/>
              <w:rPr>
                <w:rFonts w:ascii="Times New Roman" w:hAnsi="Times New Roman" w:cs="Times New Roman"/>
                <w:b/>
                <w:bCs/>
                <w:sz w:val="24"/>
                <w:szCs w:val="24"/>
              </w:rPr>
            </w:pPr>
            <w:r w:rsidRPr="007D7981">
              <w:rPr>
                <w:rFonts w:ascii="Times New Roman" w:hAnsi="Times New Roman" w:cs="Times New Roman"/>
                <w:b/>
                <w:bCs/>
                <w:sz w:val="24"/>
                <w:szCs w:val="24"/>
              </w:rPr>
              <w:t>Strength of association</w:t>
            </w:r>
          </w:p>
        </w:tc>
      </w:tr>
      <w:tr w:rsidR="00F3718A" w:rsidRPr="007D7981" w14:paraId="039AA8A2" w14:textId="13BCB7DC" w:rsidTr="007D7981">
        <w:trPr>
          <w:trHeight w:val="240"/>
        </w:trPr>
        <w:tc>
          <w:tcPr>
            <w:tcW w:w="988" w:type="dxa"/>
            <w:vMerge w:val="restart"/>
          </w:tcPr>
          <w:p w14:paraId="589EDEFB" w14:textId="09012C0F"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Lung</w:t>
            </w:r>
          </w:p>
        </w:tc>
        <w:tc>
          <w:tcPr>
            <w:tcW w:w="1776" w:type="dxa"/>
            <w:vMerge w:val="restart"/>
          </w:tcPr>
          <w:p w14:paraId="61DD390B" w14:textId="7B1F4F1D"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Lee et al., 2012</w:t>
            </w:r>
          </w:p>
        </w:tc>
        <w:tc>
          <w:tcPr>
            <w:tcW w:w="2450" w:type="dxa"/>
            <w:vMerge w:val="restart"/>
          </w:tcPr>
          <w:p w14:paraId="7EE2507B" w14:textId="11EBB728"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287 studies (n=326,317 participants</w:t>
            </w:r>
          </w:p>
        </w:tc>
        <w:tc>
          <w:tcPr>
            <w:tcW w:w="1043" w:type="dxa"/>
            <w:gridSpan w:val="2"/>
          </w:tcPr>
          <w:p w14:paraId="4B3677B1" w14:textId="26AB135A"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59" w:type="dxa"/>
          </w:tcPr>
          <w:p w14:paraId="49E6262C" w14:textId="395F1FCB"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 xml:space="preserve">RR= 8.43, </w:t>
            </w:r>
            <w:r w:rsidR="00332641" w:rsidRPr="007D7981">
              <w:rPr>
                <w:rFonts w:ascii="Times New Roman" w:hAnsi="Times New Roman" w:cs="Times New Roman"/>
                <w:sz w:val="24"/>
                <w:szCs w:val="24"/>
              </w:rPr>
              <w:t>(</w:t>
            </w:r>
            <w:r w:rsidRPr="007D7981">
              <w:rPr>
                <w:rFonts w:ascii="Times New Roman" w:hAnsi="Times New Roman" w:cs="Times New Roman"/>
                <w:sz w:val="24"/>
                <w:szCs w:val="24"/>
              </w:rPr>
              <w:t>95% CI 7.63</w:t>
            </w:r>
            <w:r w:rsidR="00332641" w:rsidRPr="007D7981">
              <w:rPr>
                <w:rFonts w:ascii="Times New Roman" w:hAnsi="Times New Roman" w:cs="Times New Roman"/>
                <w:sz w:val="24"/>
                <w:szCs w:val="24"/>
              </w:rPr>
              <w:t xml:space="preserve">, </w:t>
            </w:r>
            <w:r w:rsidRPr="007D7981">
              <w:rPr>
                <w:rFonts w:ascii="Times New Roman" w:hAnsi="Times New Roman" w:cs="Times New Roman"/>
                <w:sz w:val="24"/>
                <w:szCs w:val="24"/>
              </w:rPr>
              <w:t>9.31</w:t>
            </w:r>
            <w:r w:rsidR="00332641" w:rsidRPr="007D7981">
              <w:rPr>
                <w:rFonts w:ascii="Times New Roman" w:hAnsi="Times New Roman" w:cs="Times New Roman"/>
                <w:sz w:val="24"/>
                <w:szCs w:val="24"/>
              </w:rPr>
              <w:t>)</w:t>
            </w:r>
          </w:p>
        </w:tc>
      </w:tr>
      <w:tr w:rsidR="00F3718A" w:rsidRPr="007D7981" w14:paraId="2DC6A3E0" w14:textId="77777777" w:rsidTr="007D7981">
        <w:trPr>
          <w:trHeight w:val="120"/>
        </w:trPr>
        <w:tc>
          <w:tcPr>
            <w:tcW w:w="988" w:type="dxa"/>
            <w:vMerge/>
          </w:tcPr>
          <w:p w14:paraId="2C3F67BF" w14:textId="77777777" w:rsidR="00F3718A" w:rsidRPr="007D7981" w:rsidRDefault="00F3718A" w:rsidP="00332641">
            <w:pPr>
              <w:jc w:val="both"/>
              <w:rPr>
                <w:rFonts w:ascii="Times New Roman" w:hAnsi="Times New Roman" w:cs="Times New Roman"/>
                <w:sz w:val="24"/>
                <w:szCs w:val="24"/>
              </w:rPr>
            </w:pPr>
          </w:p>
        </w:tc>
        <w:tc>
          <w:tcPr>
            <w:tcW w:w="1776" w:type="dxa"/>
            <w:vMerge/>
          </w:tcPr>
          <w:p w14:paraId="177BC728" w14:textId="77777777" w:rsidR="00F3718A" w:rsidRPr="007D7981" w:rsidRDefault="00F3718A" w:rsidP="00332641">
            <w:pPr>
              <w:jc w:val="both"/>
              <w:rPr>
                <w:rFonts w:ascii="Times New Roman" w:hAnsi="Times New Roman" w:cs="Times New Roman"/>
                <w:sz w:val="24"/>
                <w:szCs w:val="24"/>
              </w:rPr>
            </w:pPr>
          </w:p>
        </w:tc>
        <w:tc>
          <w:tcPr>
            <w:tcW w:w="2450" w:type="dxa"/>
            <w:vMerge/>
          </w:tcPr>
          <w:p w14:paraId="029408ED" w14:textId="77777777" w:rsidR="00F3718A" w:rsidRPr="007D7981" w:rsidRDefault="00F3718A" w:rsidP="00332641">
            <w:pPr>
              <w:jc w:val="both"/>
              <w:rPr>
                <w:rFonts w:ascii="Times New Roman" w:hAnsi="Times New Roman" w:cs="Times New Roman"/>
                <w:sz w:val="24"/>
                <w:szCs w:val="24"/>
              </w:rPr>
            </w:pPr>
          </w:p>
        </w:tc>
        <w:tc>
          <w:tcPr>
            <w:tcW w:w="1043" w:type="dxa"/>
            <w:gridSpan w:val="2"/>
          </w:tcPr>
          <w:p w14:paraId="042712D7" w14:textId="7D2FFB1C"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Ex-smokers</w:t>
            </w:r>
          </w:p>
        </w:tc>
        <w:tc>
          <w:tcPr>
            <w:tcW w:w="2759" w:type="dxa"/>
          </w:tcPr>
          <w:p w14:paraId="6A0A720F" w14:textId="4C107B26"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 xml:space="preserve">RR= 4.30, </w:t>
            </w:r>
            <w:r w:rsidR="00332641" w:rsidRPr="007D7981">
              <w:rPr>
                <w:rFonts w:ascii="Times New Roman" w:hAnsi="Times New Roman" w:cs="Times New Roman"/>
                <w:sz w:val="24"/>
                <w:szCs w:val="24"/>
              </w:rPr>
              <w:t>(</w:t>
            </w:r>
            <w:r w:rsidRPr="007D7981">
              <w:rPr>
                <w:rFonts w:ascii="Times New Roman" w:hAnsi="Times New Roman" w:cs="Times New Roman"/>
                <w:sz w:val="24"/>
                <w:szCs w:val="24"/>
              </w:rPr>
              <w:t>95% CI 3.93</w:t>
            </w:r>
            <w:r w:rsidR="00332641" w:rsidRPr="007D7981">
              <w:rPr>
                <w:rFonts w:ascii="Times New Roman" w:hAnsi="Times New Roman" w:cs="Times New Roman"/>
                <w:sz w:val="24"/>
                <w:szCs w:val="24"/>
              </w:rPr>
              <w:t xml:space="preserve">, </w:t>
            </w:r>
            <w:r w:rsidRPr="007D7981">
              <w:rPr>
                <w:rFonts w:ascii="Times New Roman" w:hAnsi="Times New Roman" w:cs="Times New Roman"/>
                <w:sz w:val="24"/>
                <w:szCs w:val="24"/>
              </w:rPr>
              <w:t>4.71</w:t>
            </w:r>
            <w:r w:rsidR="00332641" w:rsidRPr="007D7981">
              <w:rPr>
                <w:rFonts w:ascii="Times New Roman" w:hAnsi="Times New Roman" w:cs="Times New Roman"/>
                <w:sz w:val="24"/>
                <w:szCs w:val="24"/>
              </w:rPr>
              <w:t>)</w:t>
            </w:r>
          </w:p>
        </w:tc>
      </w:tr>
      <w:tr w:rsidR="00F3718A" w:rsidRPr="007D7981" w14:paraId="3DED0CDA" w14:textId="77777777" w:rsidTr="007D7981">
        <w:trPr>
          <w:trHeight w:val="390"/>
        </w:trPr>
        <w:tc>
          <w:tcPr>
            <w:tcW w:w="988" w:type="dxa"/>
            <w:vMerge/>
          </w:tcPr>
          <w:p w14:paraId="4D324209" w14:textId="77777777" w:rsidR="00F3718A" w:rsidRPr="007D7981" w:rsidRDefault="00F3718A" w:rsidP="00332641">
            <w:pPr>
              <w:jc w:val="both"/>
              <w:rPr>
                <w:rFonts w:ascii="Times New Roman" w:hAnsi="Times New Roman" w:cs="Times New Roman"/>
                <w:sz w:val="24"/>
                <w:szCs w:val="24"/>
              </w:rPr>
            </w:pPr>
          </w:p>
        </w:tc>
        <w:tc>
          <w:tcPr>
            <w:tcW w:w="1776" w:type="dxa"/>
            <w:vMerge/>
          </w:tcPr>
          <w:p w14:paraId="1C1C3461" w14:textId="77777777" w:rsidR="00F3718A" w:rsidRPr="007D7981" w:rsidRDefault="00F3718A" w:rsidP="00332641">
            <w:pPr>
              <w:jc w:val="both"/>
              <w:rPr>
                <w:rFonts w:ascii="Times New Roman" w:hAnsi="Times New Roman" w:cs="Times New Roman"/>
                <w:sz w:val="24"/>
                <w:szCs w:val="24"/>
              </w:rPr>
            </w:pPr>
          </w:p>
        </w:tc>
        <w:tc>
          <w:tcPr>
            <w:tcW w:w="2450" w:type="dxa"/>
            <w:vMerge/>
          </w:tcPr>
          <w:p w14:paraId="0112304E" w14:textId="77777777" w:rsidR="00F3718A" w:rsidRPr="007D7981" w:rsidRDefault="00F3718A" w:rsidP="00332641">
            <w:pPr>
              <w:jc w:val="both"/>
              <w:rPr>
                <w:rFonts w:ascii="Times New Roman" w:hAnsi="Times New Roman" w:cs="Times New Roman"/>
                <w:sz w:val="24"/>
                <w:szCs w:val="24"/>
              </w:rPr>
            </w:pPr>
          </w:p>
        </w:tc>
        <w:tc>
          <w:tcPr>
            <w:tcW w:w="1043" w:type="dxa"/>
            <w:gridSpan w:val="2"/>
          </w:tcPr>
          <w:p w14:paraId="31D3C341" w14:textId="263DAB76"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Ever smoking</w:t>
            </w:r>
          </w:p>
        </w:tc>
        <w:tc>
          <w:tcPr>
            <w:tcW w:w="2759" w:type="dxa"/>
          </w:tcPr>
          <w:p w14:paraId="23F660D2" w14:textId="4382B68E"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 xml:space="preserve">RR= 5.50, </w:t>
            </w:r>
            <w:r w:rsidR="00332641" w:rsidRPr="007D7981">
              <w:rPr>
                <w:rFonts w:ascii="Times New Roman" w:hAnsi="Times New Roman" w:cs="Times New Roman"/>
                <w:sz w:val="24"/>
                <w:szCs w:val="24"/>
              </w:rPr>
              <w:t>(</w:t>
            </w:r>
            <w:r w:rsidRPr="007D7981">
              <w:rPr>
                <w:rFonts w:ascii="Times New Roman" w:hAnsi="Times New Roman" w:cs="Times New Roman"/>
                <w:sz w:val="24"/>
                <w:szCs w:val="24"/>
              </w:rPr>
              <w:t>95% CI 5.07</w:t>
            </w:r>
            <w:r w:rsidR="00332641" w:rsidRPr="007D7981">
              <w:rPr>
                <w:rFonts w:ascii="Times New Roman" w:hAnsi="Times New Roman" w:cs="Times New Roman"/>
                <w:sz w:val="24"/>
                <w:szCs w:val="24"/>
              </w:rPr>
              <w:t xml:space="preserve">, </w:t>
            </w:r>
            <w:r w:rsidRPr="007D7981">
              <w:rPr>
                <w:rFonts w:ascii="Times New Roman" w:hAnsi="Times New Roman" w:cs="Times New Roman"/>
                <w:sz w:val="24"/>
                <w:szCs w:val="24"/>
              </w:rPr>
              <w:t>5.96</w:t>
            </w:r>
            <w:r w:rsidR="00332641" w:rsidRPr="007D7981">
              <w:rPr>
                <w:rFonts w:ascii="Times New Roman" w:hAnsi="Times New Roman" w:cs="Times New Roman"/>
                <w:sz w:val="24"/>
                <w:szCs w:val="24"/>
              </w:rPr>
              <w:t>)</w:t>
            </w:r>
          </w:p>
        </w:tc>
      </w:tr>
      <w:tr w:rsidR="00F3718A" w:rsidRPr="007D7981" w14:paraId="2DA34F7F" w14:textId="77777777" w:rsidTr="007D7981">
        <w:trPr>
          <w:trHeight w:val="360"/>
        </w:trPr>
        <w:tc>
          <w:tcPr>
            <w:tcW w:w="988" w:type="dxa"/>
            <w:vMerge/>
          </w:tcPr>
          <w:p w14:paraId="2F3C744A" w14:textId="77777777" w:rsidR="00F3718A" w:rsidRPr="007D7981" w:rsidRDefault="00F3718A" w:rsidP="00332641">
            <w:pPr>
              <w:jc w:val="both"/>
              <w:rPr>
                <w:rFonts w:ascii="Times New Roman" w:hAnsi="Times New Roman" w:cs="Times New Roman"/>
                <w:sz w:val="24"/>
                <w:szCs w:val="24"/>
              </w:rPr>
            </w:pPr>
          </w:p>
        </w:tc>
        <w:tc>
          <w:tcPr>
            <w:tcW w:w="1776" w:type="dxa"/>
            <w:vMerge w:val="restart"/>
          </w:tcPr>
          <w:p w14:paraId="3D4617B8" w14:textId="5C5533FD"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Gandini et al., 2008</w:t>
            </w:r>
          </w:p>
        </w:tc>
        <w:tc>
          <w:tcPr>
            <w:tcW w:w="2450" w:type="dxa"/>
            <w:vMerge w:val="restart"/>
          </w:tcPr>
          <w:p w14:paraId="4508C9B5" w14:textId="28B50E72"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21 studies</w:t>
            </w:r>
          </w:p>
        </w:tc>
        <w:tc>
          <w:tcPr>
            <w:tcW w:w="1043" w:type="dxa"/>
            <w:gridSpan w:val="2"/>
          </w:tcPr>
          <w:p w14:paraId="7D2EF2C0" w14:textId="7838B752"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59" w:type="dxa"/>
          </w:tcPr>
          <w:p w14:paraId="0D23B354" w14:textId="7CF508B5"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RR= 8.96 (95% CI 6.73, 12.1)</w:t>
            </w:r>
          </w:p>
        </w:tc>
      </w:tr>
      <w:tr w:rsidR="00F3718A" w:rsidRPr="007D7981" w14:paraId="7325F9AF" w14:textId="77777777" w:rsidTr="007D7981">
        <w:trPr>
          <w:trHeight w:val="162"/>
        </w:trPr>
        <w:tc>
          <w:tcPr>
            <w:tcW w:w="988" w:type="dxa"/>
            <w:vMerge/>
          </w:tcPr>
          <w:p w14:paraId="050AF849" w14:textId="77777777" w:rsidR="00F3718A" w:rsidRPr="007D7981" w:rsidRDefault="00F3718A" w:rsidP="00332641">
            <w:pPr>
              <w:jc w:val="both"/>
              <w:rPr>
                <w:rFonts w:ascii="Times New Roman" w:hAnsi="Times New Roman" w:cs="Times New Roman"/>
                <w:sz w:val="24"/>
                <w:szCs w:val="24"/>
              </w:rPr>
            </w:pPr>
          </w:p>
        </w:tc>
        <w:tc>
          <w:tcPr>
            <w:tcW w:w="1776" w:type="dxa"/>
            <w:vMerge/>
          </w:tcPr>
          <w:p w14:paraId="10E3C4B1" w14:textId="77777777" w:rsidR="00F3718A" w:rsidRPr="007D7981" w:rsidRDefault="00F3718A" w:rsidP="00332641">
            <w:pPr>
              <w:jc w:val="both"/>
              <w:rPr>
                <w:rFonts w:ascii="Times New Roman" w:hAnsi="Times New Roman" w:cs="Times New Roman"/>
                <w:sz w:val="24"/>
                <w:szCs w:val="24"/>
              </w:rPr>
            </w:pPr>
          </w:p>
        </w:tc>
        <w:tc>
          <w:tcPr>
            <w:tcW w:w="2450" w:type="dxa"/>
            <w:vMerge/>
          </w:tcPr>
          <w:p w14:paraId="0CFD684F" w14:textId="77777777" w:rsidR="00F3718A" w:rsidRPr="007D7981" w:rsidRDefault="00F3718A" w:rsidP="00332641">
            <w:pPr>
              <w:jc w:val="both"/>
              <w:rPr>
                <w:rFonts w:ascii="Times New Roman" w:hAnsi="Times New Roman" w:cs="Times New Roman"/>
                <w:sz w:val="24"/>
                <w:szCs w:val="24"/>
              </w:rPr>
            </w:pPr>
          </w:p>
        </w:tc>
        <w:tc>
          <w:tcPr>
            <w:tcW w:w="1043" w:type="dxa"/>
            <w:gridSpan w:val="2"/>
          </w:tcPr>
          <w:p w14:paraId="70976667" w14:textId="1D720277"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Former smoker</w:t>
            </w:r>
          </w:p>
        </w:tc>
        <w:tc>
          <w:tcPr>
            <w:tcW w:w="2759" w:type="dxa"/>
          </w:tcPr>
          <w:p w14:paraId="7B407719" w14:textId="2F9C339F"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RR= 3.85 (95% CI 2.77, 5.34)</w:t>
            </w:r>
          </w:p>
        </w:tc>
      </w:tr>
      <w:tr w:rsidR="00F3718A" w:rsidRPr="007D7981" w14:paraId="3BCB107E" w14:textId="084E63D9" w:rsidTr="007D7981">
        <w:trPr>
          <w:trHeight w:val="576"/>
        </w:trPr>
        <w:tc>
          <w:tcPr>
            <w:tcW w:w="988" w:type="dxa"/>
            <w:vMerge w:val="restart"/>
          </w:tcPr>
          <w:p w14:paraId="5F43EE78" w14:textId="38FD87C7"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Larynx</w:t>
            </w:r>
          </w:p>
        </w:tc>
        <w:tc>
          <w:tcPr>
            <w:tcW w:w="1776" w:type="dxa"/>
            <w:vMerge w:val="restart"/>
          </w:tcPr>
          <w:p w14:paraId="4C206475" w14:textId="5030DB0A" w:rsidR="00F3718A"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Gandini et al., 2008</w:t>
            </w:r>
          </w:p>
        </w:tc>
        <w:tc>
          <w:tcPr>
            <w:tcW w:w="2450" w:type="dxa"/>
            <w:vMerge w:val="restart"/>
          </w:tcPr>
          <w:p w14:paraId="11BAC7CE" w14:textId="1AA2DB70" w:rsidR="00F3718A"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10 studies</w:t>
            </w:r>
          </w:p>
        </w:tc>
        <w:tc>
          <w:tcPr>
            <w:tcW w:w="1036" w:type="dxa"/>
          </w:tcPr>
          <w:p w14:paraId="458FE182" w14:textId="76151727" w:rsidR="00F3718A" w:rsidRPr="007D7981" w:rsidRDefault="00F3718A" w:rsidP="00332641">
            <w:pPr>
              <w:jc w:val="both"/>
              <w:rPr>
                <w:rFonts w:ascii="Times New Roman" w:hAnsi="Times New Roman" w:cs="Times New Roman"/>
                <w:sz w:val="24"/>
                <w:szCs w:val="24"/>
              </w:rPr>
            </w:pPr>
            <w:r w:rsidRPr="007D7981">
              <w:rPr>
                <w:rFonts w:ascii="Times New Roman" w:hAnsi="Times New Roman" w:cs="Times New Roman"/>
                <w:sz w:val="24"/>
                <w:szCs w:val="24"/>
              </w:rPr>
              <w:t xml:space="preserve">Current </w:t>
            </w:r>
            <w:r w:rsidR="00332641" w:rsidRPr="007D7981">
              <w:rPr>
                <w:rFonts w:ascii="Times New Roman" w:hAnsi="Times New Roman" w:cs="Times New Roman"/>
                <w:sz w:val="24"/>
                <w:szCs w:val="24"/>
              </w:rPr>
              <w:t>smoker</w:t>
            </w:r>
          </w:p>
        </w:tc>
        <w:tc>
          <w:tcPr>
            <w:tcW w:w="2766" w:type="dxa"/>
            <w:gridSpan w:val="2"/>
          </w:tcPr>
          <w:p w14:paraId="42593CB8" w14:textId="08A231DE" w:rsidR="00F3718A"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 xml:space="preserve">RR= 6.98 (95% CI 3.14, 15.5) </w:t>
            </w:r>
          </w:p>
        </w:tc>
      </w:tr>
      <w:tr w:rsidR="00F3718A" w:rsidRPr="007D7981" w14:paraId="0DC02C41" w14:textId="1EDD8D66" w:rsidTr="007D7981">
        <w:trPr>
          <w:trHeight w:val="135"/>
        </w:trPr>
        <w:tc>
          <w:tcPr>
            <w:tcW w:w="988" w:type="dxa"/>
            <w:vMerge/>
          </w:tcPr>
          <w:p w14:paraId="69CD7AF4" w14:textId="77777777" w:rsidR="00F3718A" w:rsidRPr="007D7981" w:rsidRDefault="00F3718A" w:rsidP="00332641">
            <w:pPr>
              <w:jc w:val="both"/>
              <w:rPr>
                <w:rFonts w:ascii="Times New Roman" w:hAnsi="Times New Roman" w:cs="Times New Roman"/>
                <w:sz w:val="24"/>
                <w:szCs w:val="24"/>
              </w:rPr>
            </w:pPr>
          </w:p>
        </w:tc>
        <w:tc>
          <w:tcPr>
            <w:tcW w:w="1776" w:type="dxa"/>
            <w:vMerge/>
          </w:tcPr>
          <w:p w14:paraId="0AF2E3BF" w14:textId="77777777" w:rsidR="00F3718A" w:rsidRPr="007D7981" w:rsidRDefault="00F3718A" w:rsidP="00332641">
            <w:pPr>
              <w:jc w:val="both"/>
              <w:rPr>
                <w:rFonts w:ascii="Times New Roman" w:hAnsi="Times New Roman" w:cs="Times New Roman"/>
                <w:sz w:val="24"/>
                <w:szCs w:val="24"/>
              </w:rPr>
            </w:pPr>
          </w:p>
        </w:tc>
        <w:tc>
          <w:tcPr>
            <w:tcW w:w="2450" w:type="dxa"/>
            <w:vMerge/>
          </w:tcPr>
          <w:p w14:paraId="2317C897" w14:textId="77777777" w:rsidR="00F3718A" w:rsidRPr="007D7981" w:rsidRDefault="00F3718A" w:rsidP="00332641">
            <w:pPr>
              <w:jc w:val="both"/>
              <w:rPr>
                <w:rFonts w:ascii="Times New Roman" w:hAnsi="Times New Roman" w:cs="Times New Roman"/>
                <w:sz w:val="24"/>
                <w:szCs w:val="24"/>
              </w:rPr>
            </w:pPr>
          </w:p>
        </w:tc>
        <w:tc>
          <w:tcPr>
            <w:tcW w:w="1036" w:type="dxa"/>
          </w:tcPr>
          <w:p w14:paraId="62771727" w14:textId="155AA2C7" w:rsidR="00F3718A"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 xml:space="preserve">Former smoker </w:t>
            </w:r>
          </w:p>
        </w:tc>
        <w:tc>
          <w:tcPr>
            <w:tcW w:w="2766" w:type="dxa"/>
            <w:gridSpan w:val="2"/>
          </w:tcPr>
          <w:p w14:paraId="3486329C" w14:textId="04CE86AF" w:rsidR="00F3718A"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RR= 4.65 (95% CI 3.35, 6.45)</w:t>
            </w:r>
          </w:p>
        </w:tc>
      </w:tr>
      <w:tr w:rsidR="00332641" w:rsidRPr="007D7981" w14:paraId="01CD8D95" w14:textId="6FCA126E" w:rsidTr="007D7981">
        <w:trPr>
          <w:trHeight w:val="285"/>
        </w:trPr>
        <w:tc>
          <w:tcPr>
            <w:tcW w:w="988" w:type="dxa"/>
            <w:vMerge w:val="restart"/>
          </w:tcPr>
          <w:p w14:paraId="78448A8F" w14:textId="197EE4EB"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Prostate</w:t>
            </w:r>
          </w:p>
        </w:tc>
        <w:tc>
          <w:tcPr>
            <w:tcW w:w="1776" w:type="dxa"/>
            <w:vMerge w:val="restart"/>
          </w:tcPr>
          <w:p w14:paraId="78849984" w14:textId="2853FA7E"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Islami et al., 2014</w:t>
            </w:r>
          </w:p>
        </w:tc>
        <w:tc>
          <w:tcPr>
            <w:tcW w:w="2450" w:type="dxa"/>
            <w:vMerge w:val="restart"/>
          </w:tcPr>
          <w:p w14:paraId="120249AD" w14:textId="6DB5C347"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51 studies (4,082,606 participants)</w:t>
            </w:r>
          </w:p>
        </w:tc>
        <w:tc>
          <w:tcPr>
            <w:tcW w:w="1036" w:type="dxa"/>
          </w:tcPr>
          <w:p w14:paraId="7CD13AE6" w14:textId="7AAE1B2C"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66" w:type="dxa"/>
            <w:gridSpan w:val="2"/>
          </w:tcPr>
          <w:p w14:paraId="3631E665" w14:textId="5EDB2525"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RR= 1.24 (95% CI 1.18, 1.31)</w:t>
            </w:r>
          </w:p>
        </w:tc>
      </w:tr>
      <w:tr w:rsidR="00332641" w:rsidRPr="007D7981" w14:paraId="28AFE8A4" w14:textId="77777777" w:rsidTr="007D7981">
        <w:trPr>
          <w:trHeight w:val="240"/>
        </w:trPr>
        <w:tc>
          <w:tcPr>
            <w:tcW w:w="988" w:type="dxa"/>
            <w:vMerge/>
          </w:tcPr>
          <w:p w14:paraId="2410ADAA" w14:textId="77777777" w:rsidR="00332641" w:rsidRPr="007D7981" w:rsidRDefault="00332641" w:rsidP="00332641">
            <w:pPr>
              <w:jc w:val="both"/>
              <w:rPr>
                <w:rFonts w:ascii="Times New Roman" w:hAnsi="Times New Roman" w:cs="Times New Roman"/>
                <w:sz w:val="24"/>
                <w:szCs w:val="24"/>
              </w:rPr>
            </w:pPr>
          </w:p>
        </w:tc>
        <w:tc>
          <w:tcPr>
            <w:tcW w:w="1776" w:type="dxa"/>
            <w:vMerge/>
          </w:tcPr>
          <w:p w14:paraId="2EE322DC" w14:textId="77777777" w:rsidR="00332641" w:rsidRPr="007D7981" w:rsidRDefault="00332641" w:rsidP="00332641">
            <w:pPr>
              <w:jc w:val="both"/>
              <w:rPr>
                <w:rFonts w:ascii="Times New Roman" w:hAnsi="Times New Roman" w:cs="Times New Roman"/>
                <w:sz w:val="24"/>
                <w:szCs w:val="24"/>
              </w:rPr>
            </w:pPr>
          </w:p>
        </w:tc>
        <w:tc>
          <w:tcPr>
            <w:tcW w:w="2450" w:type="dxa"/>
            <w:vMerge/>
          </w:tcPr>
          <w:p w14:paraId="5ABD0C11" w14:textId="77777777" w:rsidR="00332641" w:rsidRPr="007D7981" w:rsidRDefault="00332641" w:rsidP="00332641">
            <w:pPr>
              <w:jc w:val="both"/>
              <w:rPr>
                <w:rFonts w:ascii="Times New Roman" w:hAnsi="Times New Roman" w:cs="Times New Roman"/>
                <w:sz w:val="24"/>
                <w:szCs w:val="24"/>
              </w:rPr>
            </w:pPr>
          </w:p>
        </w:tc>
        <w:tc>
          <w:tcPr>
            <w:tcW w:w="1036" w:type="dxa"/>
          </w:tcPr>
          <w:p w14:paraId="2184C038" w14:textId="04556205"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 xml:space="preserve">Former smoker </w:t>
            </w:r>
          </w:p>
        </w:tc>
        <w:tc>
          <w:tcPr>
            <w:tcW w:w="2766" w:type="dxa"/>
            <w:gridSpan w:val="2"/>
          </w:tcPr>
          <w:p w14:paraId="7CCEE83A" w14:textId="05CB5E48"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RR= 1.06 (95% CI 1.00, 1.12)</w:t>
            </w:r>
          </w:p>
        </w:tc>
      </w:tr>
      <w:tr w:rsidR="00332641" w:rsidRPr="007D7981" w14:paraId="792FD6BB" w14:textId="270DBD8F" w:rsidTr="007D7981">
        <w:tblPrEx>
          <w:tblLook w:val="0000" w:firstRow="0" w:lastRow="0" w:firstColumn="0" w:lastColumn="0" w:noHBand="0" w:noVBand="0"/>
        </w:tblPrEx>
        <w:trPr>
          <w:trHeight w:val="255"/>
        </w:trPr>
        <w:tc>
          <w:tcPr>
            <w:tcW w:w="988" w:type="dxa"/>
            <w:vMerge w:val="restart"/>
          </w:tcPr>
          <w:p w14:paraId="194B4F59" w14:textId="22CDDB64"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Larynx</w:t>
            </w:r>
          </w:p>
        </w:tc>
        <w:tc>
          <w:tcPr>
            <w:tcW w:w="1776" w:type="dxa"/>
            <w:vMerge w:val="restart"/>
          </w:tcPr>
          <w:p w14:paraId="307B5DE7" w14:textId="43E8D1FB"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Gandini et al., 2008</w:t>
            </w:r>
          </w:p>
        </w:tc>
        <w:tc>
          <w:tcPr>
            <w:tcW w:w="2450" w:type="dxa"/>
            <w:vMerge w:val="restart"/>
          </w:tcPr>
          <w:p w14:paraId="77844F06" w14:textId="0B43CFDB"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10 studies</w:t>
            </w:r>
          </w:p>
        </w:tc>
        <w:tc>
          <w:tcPr>
            <w:tcW w:w="1036" w:type="dxa"/>
          </w:tcPr>
          <w:p w14:paraId="5944987F" w14:textId="4FAD19F5"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66" w:type="dxa"/>
            <w:gridSpan w:val="2"/>
          </w:tcPr>
          <w:p w14:paraId="552DE15A" w14:textId="49EC3C7A"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RR= 6.76 (95% CI 2.86, 16.0)</w:t>
            </w:r>
          </w:p>
        </w:tc>
      </w:tr>
      <w:tr w:rsidR="00332641" w:rsidRPr="007D7981" w14:paraId="5E90A6D8" w14:textId="77777777" w:rsidTr="007D7981">
        <w:tblPrEx>
          <w:tblLook w:val="0000" w:firstRow="0" w:lastRow="0" w:firstColumn="0" w:lastColumn="0" w:noHBand="0" w:noVBand="0"/>
        </w:tblPrEx>
        <w:trPr>
          <w:trHeight w:val="270"/>
        </w:trPr>
        <w:tc>
          <w:tcPr>
            <w:tcW w:w="988" w:type="dxa"/>
            <w:vMerge/>
          </w:tcPr>
          <w:p w14:paraId="2DABF7A4" w14:textId="77777777" w:rsidR="00332641" w:rsidRPr="007D7981" w:rsidRDefault="00332641" w:rsidP="00332641">
            <w:pPr>
              <w:jc w:val="both"/>
              <w:rPr>
                <w:rFonts w:ascii="Times New Roman" w:hAnsi="Times New Roman" w:cs="Times New Roman"/>
                <w:sz w:val="24"/>
                <w:szCs w:val="24"/>
              </w:rPr>
            </w:pPr>
          </w:p>
        </w:tc>
        <w:tc>
          <w:tcPr>
            <w:tcW w:w="1776" w:type="dxa"/>
            <w:vMerge/>
          </w:tcPr>
          <w:p w14:paraId="39480D5E" w14:textId="77777777" w:rsidR="00332641" w:rsidRPr="007D7981" w:rsidRDefault="00332641" w:rsidP="00332641">
            <w:pPr>
              <w:jc w:val="both"/>
              <w:rPr>
                <w:rFonts w:ascii="Times New Roman" w:hAnsi="Times New Roman" w:cs="Times New Roman"/>
                <w:sz w:val="24"/>
                <w:szCs w:val="24"/>
              </w:rPr>
            </w:pPr>
          </w:p>
        </w:tc>
        <w:tc>
          <w:tcPr>
            <w:tcW w:w="2450" w:type="dxa"/>
            <w:vMerge/>
          </w:tcPr>
          <w:p w14:paraId="1C35B13B" w14:textId="77777777" w:rsidR="00332641" w:rsidRPr="007D7981" w:rsidRDefault="00332641" w:rsidP="00332641">
            <w:pPr>
              <w:jc w:val="both"/>
              <w:rPr>
                <w:rFonts w:ascii="Times New Roman" w:hAnsi="Times New Roman" w:cs="Times New Roman"/>
                <w:sz w:val="24"/>
                <w:szCs w:val="24"/>
              </w:rPr>
            </w:pPr>
          </w:p>
        </w:tc>
        <w:tc>
          <w:tcPr>
            <w:tcW w:w="1036" w:type="dxa"/>
          </w:tcPr>
          <w:p w14:paraId="52DCF55B" w14:textId="3EC9AC23"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 xml:space="preserve">Former smoker </w:t>
            </w:r>
          </w:p>
        </w:tc>
        <w:tc>
          <w:tcPr>
            <w:tcW w:w="2766" w:type="dxa"/>
            <w:gridSpan w:val="2"/>
          </w:tcPr>
          <w:p w14:paraId="01BD847F" w14:textId="70BC4EAA" w:rsidR="00332641" w:rsidRPr="007D7981" w:rsidRDefault="00332641" w:rsidP="00332641">
            <w:pPr>
              <w:jc w:val="both"/>
              <w:rPr>
                <w:rFonts w:ascii="Times New Roman" w:hAnsi="Times New Roman" w:cs="Times New Roman"/>
                <w:sz w:val="24"/>
                <w:szCs w:val="24"/>
              </w:rPr>
            </w:pPr>
            <w:r w:rsidRPr="007D7981">
              <w:rPr>
                <w:rFonts w:ascii="Times New Roman" w:hAnsi="Times New Roman" w:cs="Times New Roman"/>
                <w:sz w:val="24"/>
                <w:szCs w:val="24"/>
              </w:rPr>
              <w:t>RR= 2.28 (95% CI 0.95, 5.50)</w:t>
            </w:r>
          </w:p>
        </w:tc>
      </w:tr>
      <w:tr w:rsidR="00933F40" w:rsidRPr="007D7981" w14:paraId="1D39690A" w14:textId="77777777" w:rsidTr="007D7981">
        <w:tblPrEx>
          <w:tblLook w:val="0000" w:firstRow="0" w:lastRow="0" w:firstColumn="0" w:lastColumn="0" w:noHBand="0" w:noVBand="0"/>
        </w:tblPrEx>
        <w:trPr>
          <w:trHeight w:val="255"/>
        </w:trPr>
        <w:tc>
          <w:tcPr>
            <w:tcW w:w="988" w:type="dxa"/>
            <w:vMerge w:val="restart"/>
          </w:tcPr>
          <w:p w14:paraId="33BFDFF0" w14:textId="12D3EECD"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Pancreas</w:t>
            </w:r>
          </w:p>
        </w:tc>
        <w:tc>
          <w:tcPr>
            <w:tcW w:w="1776" w:type="dxa"/>
            <w:vMerge w:val="restart"/>
          </w:tcPr>
          <w:p w14:paraId="62FEBE38" w14:textId="747EB850"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Iodice et al., 2008</w:t>
            </w:r>
          </w:p>
        </w:tc>
        <w:tc>
          <w:tcPr>
            <w:tcW w:w="2450" w:type="dxa"/>
            <w:vMerge w:val="restart"/>
          </w:tcPr>
          <w:p w14:paraId="61D467D9" w14:textId="4E17B1F9"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82 studies (&gt;7,000,000 participants)</w:t>
            </w:r>
          </w:p>
        </w:tc>
        <w:tc>
          <w:tcPr>
            <w:tcW w:w="1036" w:type="dxa"/>
          </w:tcPr>
          <w:p w14:paraId="2CA0D330" w14:textId="17F6DED4"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66" w:type="dxa"/>
            <w:gridSpan w:val="2"/>
          </w:tcPr>
          <w:p w14:paraId="30D2ACBC" w14:textId="7F257958"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RR= 1.74 (95% CI 1.61, 1.87)</w:t>
            </w:r>
          </w:p>
        </w:tc>
      </w:tr>
      <w:tr w:rsidR="00933F40" w:rsidRPr="007D7981" w14:paraId="5A4FA968" w14:textId="77777777" w:rsidTr="007D7981">
        <w:tblPrEx>
          <w:tblLook w:val="0000" w:firstRow="0" w:lastRow="0" w:firstColumn="0" w:lastColumn="0" w:noHBand="0" w:noVBand="0"/>
        </w:tblPrEx>
        <w:trPr>
          <w:trHeight w:val="270"/>
        </w:trPr>
        <w:tc>
          <w:tcPr>
            <w:tcW w:w="988" w:type="dxa"/>
            <w:vMerge/>
          </w:tcPr>
          <w:p w14:paraId="63FA89A5" w14:textId="77777777" w:rsidR="00933F40" w:rsidRPr="007D7981" w:rsidRDefault="00933F40" w:rsidP="00933F40">
            <w:pPr>
              <w:jc w:val="both"/>
              <w:rPr>
                <w:rFonts w:ascii="Times New Roman" w:hAnsi="Times New Roman" w:cs="Times New Roman"/>
                <w:sz w:val="24"/>
                <w:szCs w:val="24"/>
              </w:rPr>
            </w:pPr>
          </w:p>
        </w:tc>
        <w:tc>
          <w:tcPr>
            <w:tcW w:w="1776" w:type="dxa"/>
            <w:vMerge/>
          </w:tcPr>
          <w:p w14:paraId="1D7F7C00" w14:textId="77777777" w:rsidR="00933F40" w:rsidRPr="007D7981" w:rsidRDefault="00933F40" w:rsidP="00933F40">
            <w:pPr>
              <w:jc w:val="both"/>
              <w:rPr>
                <w:rFonts w:ascii="Times New Roman" w:hAnsi="Times New Roman" w:cs="Times New Roman"/>
                <w:sz w:val="24"/>
                <w:szCs w:val="24"/>
              </w:rPr>
            </w:pPr>
          </w:p>
        </w:tc>
        <w:tc>
          <w:tcPr>
            <w:tcW w:w="2450" w:type="dxa"/>
            <w:vMerge/>
          </w:tcPr>
          <w:p w14:paraId="3EC4C58C" w14:textId="77777777" w:rsidR="00933F40" w:rsidRPr="007D7981" w:rsidRDefault="00933F40" w:rsidP="00933F40">
            <w:pPr>
              <w:jc w:val="both"/>
              <w:rPr>
                <w:rFonts w:ascii="Times New Roman" w:hAnsi="Times New Roman" w:cs="Times New Roman"/>
                <w:sz w:val="24"/>
                <w:szCs w:val="24"/>
              </w:rPr>
            </w:pPr>
          </w:p>
        </w:tc>
        <w:tc>
          <w:tcPr>
            <w:tcW w:w="1036" w:type="dxa"/>
          </w:tcPr>
          <w:p w14:paraId="1DDB5285" w14:textId="74CF2CCD"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 xml:space="preserve">Former smoker </w:t>
            </w:r>
          </w:p>
        </w:tc>
        <w:tc>
          <w:tcPr>
            <w:tcW w:w="2766" w:type="dxa"/>
            <w:gridSpan w:val="2"/>
          </w:tcPr>
          <w:p w14:paraId="01F976D0" w14:textId="75EA85A3"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RR= 1.2 (95% CI 1.11, 1.29)</w:t>
            </w:r>
          </w:p>
        </w:tc>
      </w:tr>
      <w:tr w:rsidR="00933F40" w:rsidRPr="007D7981" w14:paraId="4DB8C1FF" w14:textId="77777777" w:rsidTr="007D7981">
        <w:tblPrEx>
          <w:tblLook w:val="0000" w:firstRow="0" w:lastRow="0" w:firstColumn="0" w:lastColumn="0" w:noHBand="0" w:noVBand="0"/>
        </w:tblPrEx>
        <w:trPr>
          <w:trHeight w:val="90"/>
        </w:trPr>
        <w:tc>
          <w:tcPr>
            <w:tcW w:w="988" w:type="dxa"/>
            <w:vMerge w:val="restart"/>
          </w:tcPr>
          <w:p w14:paraId="3034B9EC" w14:textId="2819AC70"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Oral cavity</w:t>
            </w:r>
          </w:p>
        </w:tc>
        <w:tc>
          <w:tcPr>
            <w:tcW w:w="1776" w:type="dxa"/>
            <w:vMerge w:val="restart"/>
          </w:tcPr>
          <w:p w14:paraId="71CD5E09" w14:textId="64B4032E"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Gandini et al., 2008</w:t>
            </w:r>
          </w:p>
        </w:tc>
        <w:tc>
          <w:tcPr>
            <w:tcW w:w="2450" w:type="dxa"/>
            <w:vMerge w:val="restart"/>
          </w:tcPr>
          <w:p w14:paraId="6E9D6E29" w14:textId="01C77D2A"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21 studies</w:t>
            </w:r>
          </w:p>
        </w:tc>
        <w:tc>
          <w:tcPr>
            <w:tcW w:w="1036" w:type="dxa"/>
          </w:tcPr>
          <w:p w14:paraId="28981481" w14:textId="7C2D4C7A"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66" w:type="dxa"/>
            <w:gridSpan w:val="2"/>
          </w:tcPr>
          <w:p w14:paraId="6D576B35" w14:textId="32086BFA"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3.43 (2.37, 4.94)</w:t>
            </w:r>
          </w:p>
        </w:tc>
      </w:tr>
      <w:tr w:rsidR="00933F40" w:rsidRPr="007D7981" w14:paraId="3C17A10C" w14:textId="77777777" w:rsidTr="007D7981">
        <w:tblPrEx>
          <w:tblLook w:val="0000" w:firstRow="0" w:lastRow="0" w:firstColumn="0" w:lastColumn="0" w:noHBand="0" w:noVBand="0"/>
        </w:tblPrEx>
        <w:trPr>
          <w:trHeight w:val="165"/>
        </w:trPr>
        <w:tc>
          <w:tcPr>
            <w:tcW w:w="988" w:type="dxa"/>
            <w:vMerge/>
          </w:tcPr>
          <w:p w14:paraId="37B6D3ED" w14:textId="77777777" w:rsidR="00933F40" w:rsidRPr="007D7981" w:rsidRDefault="00933F40" w:rsidP="00933F40">
            <w:pPr>
              <w:jc w:val="both"/>
              <w:rPr>
                <w:rFonts w:ascii="Times New Roman" w:hAnsi="Times New Roman" w:cs="Times New Roman"/>
                <w:sz w:val="24"/>
                <w:szCs w:val="24"/>
              </w:rPr>
            </w:pPr>
          </w:p>
        </w:tc>
        <w:tc>
          <w:tcPr>
            <w:tcW w:w="1776" w:type="dxa"/>
            <w:vMerge/>
          </w:tcPr>
          <w:p w14:paraId="7BECF69F" w14:textId="77777777" w:rsidR="00933F40" w:rsidRPr="007D7981" w:rsidRDefault="00933F40" w:rsidP="00933F40">
            <w:pPr>
              <w:jc w:val="both"/>
              <w:rPr>
                <w:rFonts w:ascii="Times New Roman" w:hAnsi="Times New Roman" w:cs="Times New Roman"/>
                <w:sz w:val="24"/>
                <w:szCs w:val="24"/>
              </w:rPr>
            </w:pPr>
          </w:p>
        </w:tc>
        <w:tc>
          <w:tcPr>
            <w:tcW w:w="2450" w:type="dxa"/>
            <w:vMerge/>
          </w:tcPr>
          <w:p w14:paraId="4CBE358F" w14:textId="77777777" w:rsidR="00933F40" w:rsidRPr="007D7981" w:rsidRDefault="00933F40" w:rsidP="00933F40">
            <w:pPr>
              <w:jc w:val="both"/>
              <w:rPr>
                <w:rFonts w:ascii="Times New Roman" w:hAnsi="Times New Roman" w:cs="Times New Roman"/>
                <w:sz w:val="24"/>
                <w:szCs w:val="24"/>
              </w:rPr>
            </w:pPr>
          </w:p>
        </w:tc>
        <w:tc>
          <w:tcPr>
            <w:tcW w:w="1036" w:type="dxa"/>
          </w:tcPr>
          <w:p w14:paraId="38199C45" w14:textId="70DBE7BE"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 xml:space="preserve">Former smoker </w:t>
            </w:r>
          </w:p>
        </w:tc>
        <w:tc>
          <w:tcPr>
            <w:tcW w:w="2766" w:type="dxa"/>
            <w:gridSpan w:val="2"/>
          </w:tcPr>
          <w:p w14:paraId="498CDD6E" w14:textId="2829ABB4"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1.40 (0.99, 2.00</w:t>
            </w:r>
          </w:p>
        </w:tc>
      </w:tr>
      <w:tr w:rsidR="00933F40" w:rsidRPr="007D7981" w14:paraId="0B6823F8" w14:textId="77777777" w:rsidTr="007D7981">
        <w:tblPrEx>
          <w:tblLook w:val="0000" w:firstRow="0" w:lastRow="0" w:firstColumn="0" w:lastColumn="0" w:noHBand="0" w:noVBand="0"/>
        </w:tblPrEx>
        <w:trPr>
          <w:trHeight w:val="75"/>
        </w:trPr>
        <w:tc>
          <w:tcPr>
            <w:tcW w:w="988" w:type="dxa"/>
            <w:vMerge w:val="restart"/>
          </w:tcPr>
          <w:p w14:paraId="29758591" w14:textId="248F5DE0"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Esophagus</w:t>
            </w:r>
          </w:p>
        </w:tc>
        <w:tc>
          <w:tcPr>
            <w:tcW w:w="1776" w:type="dxa"/>
            <w:vMerge w:val="restart"/>
          </w:tcPr>
          <w:p w14:paraId="1C91D45C" w14:textId="68EAE44F"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Gandini et al., 2008</w:t>
            </w:r>
          </w:p>
        </w:tc>
        <w:tc>
          <w:tcPr>
            <w:tcW w:w="2450" w:type="dxa"/>
            <w:vMerge w:val="restart"/>
          </w:tcPr>
          <w:p w14:paraId="218C883E" w14:textId="760335D7"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20 studies</w:t>
            </w:r>
          </w:p>
        </w:tc>
        <w:tc>
          <w:tcPr>
            <w:tcW w:w="1036" w:type="dxa"/>
          </w:tcPr>
          <w:p w14:paraId="27537C8E" w14:textId="6795E8B7"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66" w:type="dxa"/>
            <w:gridSpan w:val="2"/>
          </w:tcPr>
          <w:p w14:paraId="48DE18BF" w14:textId="247CE255"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2.50 (2.00, 3.13)</w:t>
            </w:r>
          </w:p>
        </w:tc>
      </w:tr>
      <w:tr w:rsidR="00933F40" w:rsidRPr="007D7981" w14:paraId="3A312A1B" w14:textId="77777777" w:rsidTr="007D7981">
        <w:tblPrEx>
          <w:tblLook w:val="0000" w:firstRow="0" w:lastRow="0" w:firstColumn="0" w:lastColumn="0" w:noHBand="0" w:noVBand="0"/>
        </w:tblPrEx>
        <w:trPr>
          <w:trHeight w:val="180"/>
        </w:trPr>
        <w:tc>
          <w:tcPr>
            <w:tcW w:w="988" w:type="dxa"/>
            <w:vMerge/>
          </w:tcPr>
          <w:p w14:paraId="2E49688F" w14:textId="77777777" w:rsidR="00933F40" w:rsidRPr="007D7981" w:rsidRDefault="00933F40" w:rsidP="00933F40">
            <w:pPr>
              <w:jc w:val="both"/>
              <w:rPr>
                <w:rFonts w:ascii="Times New Roman" w:hAnsi="Times New Roman" w:cs="Times New Roman"/>
                <w:sz w:val="24"/>
                <w:szCs w:val="24"/>
              </w:rPr>
            </w:pPr>
          </w:p>
        </w:tc>
        <w:tc>
          <w:tcPr>
            <w:tcW w:w="1776" w:type="dxa"/>
            <w:vMerge/>
          </w:tcPr>
          <w:p w14:paraId="513CF6E9" w14:textId="77777777" w:rsidR="00933F40" w:rsidRPr="007D7981" w:rsidRDefault="00933F40" w:rsidP="00933F40">
            <w:pPr>
              <w:jc w:val="both"/>
              <w:rPr>
                <w:rFonts w:ascii="Times New Roman" w:hAnsi="Times New Roman" w:cs="Times New Roman"/>
                <w:sz w:val="24"/>
                <w:szCs w:val="24"/>
              </w:rPr>
            </w:pPr>
          </w:p>
        </w:tc>
        <w:tc>
          <w:tcPr>
            <w:tcW w:w="2450" w:type="dxa"/>
            <w:vMerge/>
          </w:tcPr>
          <w:p w14:paraId="2AD934FE" w14:textId="77777777" w:rsidR="00933F40" w:rsidRPr="007D7981" w:rsidRDefault="00933F40" w:rsidP="00933F40">
            <w:pPr>
              <w:jc w:val="both"/>
              <w:rPr>
                <w:rFonts w:ascii="Times New Roman" w:hAnsi="Times New Roman" w:cs="Times New Roman"/>
                <w:sz w:val="24"/>
                <w:szCs w:val="24"/>
              </w:rPr>
            </w:pPr>
          </w:p>
        </w:tc>
        <w:tc>
          <w:tcPr>
            <w:tcW w:w="1036" w:type="dxa"/>
          </w:tcPr>
          <w:p w14:paraId="69D2C0C6" w14:textId="7D0DB0EF"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 xml:space="preserve">Former smoker </w:t>
            </w:r>
          </w:p>
        </w:tc>
        <w:tc>
          <w:tcPr>
            <w:tcW w:w="2766" w:type="dxa"/>
            <w:gridSpan w:val="2"/>
          </w:tcPr>
          <w:p w14:paraId="553A573A" w14:textId="5072E814"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sz w:val="24"/>
                <w:szCs w:val="24"/>
              </w:rPr>
              <w:t>2.03 (1.77, 2.33)</w:t>
            </w:r>
          </w:p>
        </w:tc>
      </w:tr>
    </w:tbl>
    <w:p w14:paraId="4D2BF83C" w14:textId="74358299" w:rsidR="00E36942" w:rsidRPr="007D7981" w:rsidRDefault="00E36942" w:rsidP="00E36942">
      <w:pPr>
        <w:jc w:val="both"/>
        <w:rPr>
          <w:rFonts w:ascii="Times New Roman" w:hAnsi="Times New Roman" w:cs="Times New Roman"/>
          <w:sz w:val="24"/>
          <w:szCs w:val="24"/>
        </w:rPr>
      </w:pPr>
    </w:p>
    <w:p w14:paraId="50554769" w14:textId="1AFB5385" w:rsidR="00933F40" w:rsidRPr="007D7981" w:rsidRDefault="00933F40" w:rsidP="00933F40">
      <w:pPr>
        <w:pStyle w:val="ListParagraph"/>
        <w:numPr>
          <w:ilvl w:val="0"/>
          <w:numId w:val="10"/>
        </w:numPr>
        <w:jc w:val="both"/>
        <w:rPr>
          <w:rFonts w:ascii="Times New Roman" w:hAnsi="Times New Roman" w:cs="Times New Roman"/>
          <w:b/>
          <w:bCs/>
          <w:sz w:val="24"/>
          <w:szCs w:val="24"/>
        </w:rPr>
      </w:pPr>
      <w:r w:rsidRPr="007D7981">
        <w:rPr>
          <w:rFonts w:ascii="Times New Roman" w:hAnsi="Times New Roman" w:cs="Times New Roman"/>
          <w:b/>
          <w:bCs/>
          <w:sz w:val="24"/>
          <w:szCs w:val="24"/>
        </w:rPr>
        <w:lastRenderedPageBreak/>
        <w:t>Diabetes mellitus</w:t>
      </w:r>
    </w:p>
    <w:p w14:paraId="36BFE365" w14:textId="48041CDC" w:rsidR="00933F40" w:rsidRPr="007D7981" w:rsidRDefault="00933F40"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Observational studies have linked various smoking behaviours (active smoking, passive smoking, and smoking cessation) with risk of type 2 diabetes. A summary of findings table regarding the strength of association between tobacco smoking and risk of diabetes is presented below. The data has been obtained from systematic reviews and meta-analyses of population-based studies.</w:t>
      </w:r>
    </w:p>
    <w:tbl>
      <w:tblPr>
        <w:tblStyle w:val="TableGrid"/>
        <w:tblW w:w="0" w:type="auto"/>
        <w:tblLook w:val="04A0" w:firstRow="1" w:lastRow="0" w:firstColumn="1" w:lastColumn="0" w:noHBand="0" w:noVBand="1"/>
      </w:tblPr>
      <w:tblGrid>
        <w:gridCol w:w="1980"/>
        <w:gridCol w:w="2693"/>
        <w:gridCol w:w="1185"/>
        <w:gridCol w:w="3158"/>
      </w:tblGrid>
      <w:tr w:rsidR="00933F40" w:rsidRPr="007D7981" w14:paraId="44EB2B82" w14:textId="77777777" w:rsidTr="002A67B4">
        <w:tc>
          <w:tcPr>
            <w:tcW w:w="1980" w:type="dxa"/>
          </w:tcPr>
          <w:p w14:paraId="130F6761" w14:textId="407E7D7E"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b/>
                <w:bCs/>
                <w:sz w:val="24"/>
                <w:szCs w:val="24"/>
              </w:rPr>
              <w:t>Study</w:t>
            </w:r>
          </w:p>
        </w:tc>
        <w:tc>
          <w:tcPr>
            <w:tcW w:w="2693" w:type="dxa"/>
          </w:tcPr>
          <w:p w14:paraId="50FDA5B1" w14:textId="4FA114BA"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b/>
                <w:bCs/>
                <w:sz w:val="24"/>
                <w:szCs w:val="24"/>
              </w:rPr>
              <w:t>Number of participants</w:t>
            </w:r>
          </w:p>
        </w:tc>
        <w:tc>
          <w:tcPr>
            <w:tcW w:w="4343" w:type="dxa"/>
            <w:gridSpan w:val="2"/>
          </w:tcPr>
          <w:p w14:paraId="2DCA4CA5" w14:textId="71A5081F" w:rsidR="00933F40" w:rsidRPr="007D7981" w:rsidRDefault="00933F40" w:rsidP="00933F40">
            <w:pPr>
              <w:jc w:val="both"/>
              <w:rPr>
                <w:rFonts w:ascii="Times New Roman" w:hAnsi="Times New Roman" w:cs="Times New Roman"/>
                <w:sz w:val="24"/>
                <w:szCs w:val="24"/>
              </w:rPr>
            </w:pPr>
            <w:r w:rsidRPr="007D7981">
              <w:rPr>
                <w:rFonts w:ascii="Times New Roman" w:hAnsi="Times New Roman" w:cs="Times New Roman"/>
                <w:b/>
                <w:bCs/>
                <w:sz w:val="24"/>
                <w:szCs w:val="24"/>
              </w:rPr>
              <w:t>Strength of association</w:t>
            </w:r>
          </w:p>
        </w:tc>
      </w:tr>
      <w:tr w:rsidR="002A67B4" w:rsidRPr="007D7981" w14:paraId="27BFD4F3" w14:textId="7E0D16A3" w:rsidTr="002A67B4">
        <w:trPr>
          <w:trHeight w:val="270"/>
        </w:trPr>
        <w:tc>
          <w:tcPr>
            <w:tcW w:w="1980" w:type="dxa"/>
            <w:vMerge w:val="restart"/>
          </w:tcPr>
          <w:p w14:paraId="0CF104B4" w14:textId="6146C4E8" w:rsidR="002A67B4" w:rsidRPr="007D7981" w:rsidRDefault="002A67B4" w:rsidP="00933F40">
            <w:pPr>
              <w:jc w:val="both"/>
              <w:rPr>
                <w:rFonts w:ascii="Times New Roman" w:hAnsi="Times New Roman" w:cs="Times New Roman"/>
                <w:sz w:val="24"/>
                <w:szCs w:val="24"/>
              </w:rPr>
            </w:pPr>
            <w:r w:rsidRPr="007D7981">
              <w:rPr>
                <w:rFonts w:ascii="Times New Roman" w:hAnsi="Times New Roman" w:cs="Times New Roman"/>
                <w:sz w:val="24"/>
                <w:szCs w:val="24"/>
              </w:rPr>
              <w:t>Pan et al., 2015</w:t>
            </w:r>
          </w:p>
        </w:tc>
        <w:tc>
          <w:tcPr>
            <w:tcW w:w="2693" w:type="dxa"/>
            <w:vMerge w:val="restart"/>
          </w:tcPr>
          <w:p w14:paraId="154E2524" w14:textId="6853494E" w:rsidR="002A67B4" w:rsidRPr="007D7981" w:rsidRDefault="002A67B4" w:rsidP="00933F40">
            <w:pPr>
              <w:jc w:val="both"/>
              <w:rPr>
                <w:rFonts w:ascii="Times New Roman" w:hAnsi="Times New Roman" w:cs="Times New Roman"/>
                <w:sz w:val="24"/>
                <w:szCs w:val="24"/>
              </w:rPr>
            </w:pPr>
            <w:r w:rsidRPr="007D7981">
              <w:rPr>
                <w:rFonts w:ascii="Times New Roman" w:hAnsi="Times New Roman" w:cs="Times New Roman"/>
                <w:sz w:val="24"/>
                <w:szCs w:val="24"/>
              </w:rPr>
              <w:t>88 studies (n= 5,898, 795 participants</w:t>
            </w:r>
          </w:p>
        </w:tc>
        <w:tc>
          <w:tcPr>
            <w:tcW w:w="1185" w:type="dxa"/>
          </w:tcPr>
          <w:p w14:paraId="71F38EF2" w14:textId="48761D62" w:rsidR="002A67B4" w:rsidRPr="007D7981" w:rsidRDefault="002A67B4" w:rsidP="00933F40">
            <w:pPr>
              <w:jc w:val="both"/>
              <w:rPr>
                <w:rFonts w:ascii="Times New Roman" w:hAnsi="Times New Roman" w:cs="Times New Roman"/>
                <w:sz w:val="24"/>
                <w:szCs w:val="24"/>
              </w:rPr>
            </w:pPr>
            <w:r w:rsidRPr="007D7981">
              <w:rPr>
                <w:rFonts w:ascii="Times New Roman" w:hAnsi="Times New Roman" w:cs="Times New Roman"/>
                <w:sz w:val="24"/>
                <w:szCs w:val="24"/>
              </w:rPr>
              <w:t>Current smokers</w:t>
            </w:r>
          </w:p>
        </w:tc>
        <w:tc>
          <w:tcPr>
            <w:tcW w:w="3158" w:type="dxa"/>
          </w:tcPr>
          <w:p w14:paraId="572A7741" w14:textId="10AF7855" w:rsidR="002A67B4" w:rsidRPr="007D7981" w:rsidRDefault="002A67B4" w:rsidP="00933F40">
            <w:pPr>
              <w:jc w:val="both"/>
              <w:rPr>
                <w:rFonts w:ascii="Times New Roman" w:hAnsi="Times New Roman" w:cs="Times New Roman"/>
                <w:sz w:val="24"/>
                <w:szCs w:val="24"/>
              </w:rPr>
            </w:pPr>
            <w:r w:rsidRPr="007D7981">
              <w:rPr>
                <w:rFonts w:ascii="Times New Roman" w:hAnsi="Times New Roman" w:cs="Times New Roman"/>
                <w:sz w:val="24"/>
                <w:szCs w:val="24"/>
              </w:rPr>
              <w:t>RR= 1.37 (95% CI 1.33, 1.42)</w:t>
            </w:r>
          </w:p>
        </w:tc>
      </w:tr>
      <w:tr w:rsidR="002A67B4" w:rsidRPr="007D7981" w14:paraId="76552C90" w14:textId="19FC1DA7" w:rsidTr="002A67B4">
        <w:trPr>
          <w:trHeight w:val="255"/>
        </w:trPr>
        <w:tc>
          <w:tcPr>
            <w:tcW w:w="1980" w:type="dxa"/>
            <w:vMerge/>
          </w:tcPr>
          <w:p w14:paraId="56E7049F" w14:textId="77777777" w:rsidR="002A67B4" w:rsidRPr="007D7981" w:rsidRDefault="002A67B4" w:rsidP="00933F40">
            <w:pPr>
              <w:jc w:val="both"/>
              <w:rPr>
                <w:rFonts w:ascii="Times New Roman" w:hAnsi="Times New Roman" w:cs="Times New Roman"/>
                <w:sz w:val="24"/>
                <w:szCs w:val="24"/>
              </w:rPr>
            </w:pPr>
          </w:p>
        </w:tc>
        <w:tc>
          <w:tcPr>
            <w:tcW w:w="2693" w:type="dxa"/>
            <w:vMerge/>
          </w:tcPr>
          <w:p w14:paraId="77A92498" w14:textId="77777777" w:rsidR="002A67B4" w:rsidRPr="007D7981" w:rsidRDefault="002A67B4" w:rsidP="00933F40">
            <w:pPr>
              <w:jc w:val="both"/>
              <w:rPr>
                <w:rFonts w:ascii="Times New Roman" w:hAnsi="Times New Roman" w:cs="Times New Roman"/>
                <w:sz w:val="24"/>
                <w:szCs w:val="24"/>
              </w:rPr>
            </w:pPr>
          </w:p>
        </w:tc>
        <w:tc>
          <w:tcPr>
            <w:tcW w:w="1185" w:type="dxa"/>
          </w:tcPr>
          <w:p w14:paraId="2EEDDD72" w14:textId="76521F07" w:rsidR="002A67B4" w:rsidRPr="007D7981" w:rsidRDefault="002A67B4" w:rsidP="00933F40">
            <w:pPr>
              <w:jc w:val="both"/>
              <w:rPr>
                <w:rFonts w:ascii="Times New Roman" w:hAnsi="Times New Roman" w:cs="Times New Roman"/>
                <w:sz w:val="24"/>
                <w:szCs w:val="24"/>
              </w:rPr>
            </w:pPr>
            <w:r w:rsidRPr="007D7981">
              <w:rPr>
                <w:rFonts w:ascii="Times New Roman" w:hAnsi="Times New Roman" w:cs="Times New Roman"/>
                <w:sz w:val="24"/>
                <w:szCs w:val="24"/>
              </w:rPr>
              <w:t>Former smokers</w:t>
            </w:r>
          </w:p>
        </w:tc>
        <w:tc>
          <w:tcPr>
            <w:tcW w:w="3158" w:type="dxa"/>
          </w:tcPr>
          <w:p w14:paraId="780A5101" w14:textId="7FF9B1BA" w:rsidR="002A67B4" w:rsidRPr="007D7981" w:rsidRDefault="002A67B4" w:rsidP="00933F40">
            <w:pPr>
              <w:jc w:val="both"/>
              <w:rPr>
                <w:rFonts w:ascii="Times New Roman" w:hAnsi="Times New Roman" w:cs="Times New Roman"/>
                <w:sz w:val="24"/>
                <w:szCs w:val="24"/>
              </w:rPr>
            </w:pPr>
            <w:r w:rsidRPr="007D7981">
              <w:rPr>
                <w:rFonts w:ascii="Times New Roman" w:hAnsi="Times New Roman" w:cs="Times New Roman"/>
                <w:sz w:val="24"/>
                <w:szCs w:val="24"/>
              </w:rPr>
              <w:t>RR= 1.14 (95% CI 1.10, 1.18)</w:t>
            </w:r>
          </w:p>
        </w:tc>
      </w:tr>
      <w:tr w:rsidR="002A67B4" w:rsidRPr="007D7981" w14:paraId="24B60723" w14:textId="2AC21E77" w:rsidTr="002A67B4">
        <w:trPr>
          <w:trHeight w:val="330"/>
        </w:trPr>
        <w:tc>
          <w:tcPr>
            <w:tcW w:w="1980" w:type="dxa"/>
            <w:vMerge w:val="restart"/>
          </w:tcPr>
          <w:p w14:paraId="05592BA6" w14:textId="50B2E46A" w:rsidR="002A67B4" w:rsidRPr="007D7981" w:rsidRDefault="002A67B4" w:rsidP="002A67B4">
            <w:pPr>
              <w:jc w:val="both"/>
              <w:rPr>
                <w:rFonts w:ascii="Times New Roman" w:hAnsi="Times New Roman" w:cs="Times New Roman"/>
                <w:sz w:val="24"/>
                <w:szCs w:val="24"/>
              </w:rPr>
            </w:pPr>
            <w:r w:rsidRPr="007D7981">
              <w:rPr>
                <w:rFonts w:ascii="Times New Roman" w:hAnsi="Times New Roman" w:cs="Times New Roman"/>
                <w:sz w:val="24"/>
                <w:szCs w:val="24"/>
              </w:rPr>
              <w:t>Akter et al., 2017</w:t>
            </w:r>
          </w:p>
        </w:tc>
        <w:tc>
          <w:tcPr>
            <w:tcW w:w="2693" w:type="dxa"/>
            <w:vMerge w:val="restart"/>
          </w:tcPr>
          <w:p w14:paraId="48EC29B7" w14:textId="66D45A69" w:rsidR="002A67B4" w:rsidRPr="007D7981" w:rsidRDefault="002A67B4" w:rsidP="002A67B4">
            <w:pPr>
              <w:jc w:val="both"/>
              <w:rPr>
                <w:rFonts w:ascii="Times New Roman" w:hAnsi="Times New Roman" w:cs="Times New Roman"/>
                <w:sz w:val="24"/>
                <w:szCs w:val="24"/>
              </w:rPr>
            </w:pPr>
            <w:r w:rsidRPr="007D7981">
              <w:rPr>
                <w:rFonts w:ascii="Times New Roman" w:hAnsi="Times New Roman" w:cs="Times New Roman"/>
                <w:sz w:val="24"/>
                <w:szCs w:val="24"/>
              </w:rPr>
              <w:t>22 studies (n= 343,573 participants)</w:t>
            </w:r>
          </w:p>
        </w:tc>
        <w:tc>
          <w:tcPr>
            <w:tcW w:w="1185" w:type="dxa"/>
          </w:tcPr>
          <w:p w14:paraId="270923FA" w14:textId="3E194E07" w:rsidR="002A67B4" w:rsidRPr="007D7981" w:rsidRDefault="002A67B4" w:rsidP="002A67B4">
            <w:pPr>
              <w:jc w:val="both"/>
              <w:rPr>
                <w:rFonts w:ascii="Times New Roman" w:hAnsi="Times New Roman" w:cs="Times New Roman"/>
                <w:sz w:val="24"/>
                <w:szCs w:val="24"/>
              </w:rPr>
            </w:pPr>
            <w:r w:rsidRPr="007D7981">
              <w:rPr>
                <w:rFonts w:ascii="Times New Roman" w:hAnsi="Times New Roman" w:cs="Times New Roman"/>
                <w:sz w:val="24"/>
                <w:szCs w:val="24"/>
              </w:rPr>
              <w:t>Current smokers</w:t>
            </w:r>
          </w:p>
        </w:tc>
        <w:tc>
          <w:tcPr>
            <w:tcW w:w="3158" w:type="dxa"/>
          </w:tcPr>
          <w:p w14:paraId="74177EE3" w14:textId="47A8F97B" w:rsidR="002A67B4" w:rsidRPr="007D7981" w:rsidRDefault="002A67B4" w:rsidP="002A67B4">
            <w:pPr>
              <w:jc w:val="both"/>
              <w:rPr>
                <w:rFonts w:ascii="Times New Roman" w:hAnsi="Times New Roman" w:cs="Times New Roman"/>
                <w:sz w:val="24"/>
                <w:szCs w:val="24"/>
              </w:rPr>
            </w:pPr>
            <w:r w:rsidRPr="007D7981">
              <w:rPr>
                <w:rFonts w:ascii="Times New Roman" w:hAnsi="Times New Roman" w:cs="Times New Roman"/>
                <w:sz w:val="24"/>
                <w:szCs w:val="24"/>
              </w:rPr>
              <w:t>RR= 1.38 (95% CI 1.28, 1.49)</w:t>
            </w:r>
          </w:p>
        </w:tc>
      </w:tr>
      <w:tr w:rsidR="002A67B4" w:rsidRPr="007D7981" w14:paraId="734C8449" w14:textId="5D473295" w:rsidTr="002A67B4">
        <w:trPr>
          <w:trHeight w:val="195"/>
        </w:trPr>
        <w:tc>
          <w:tcPr>
            <w:tcW w:w="1980" w:type="dxa"/>
            <w:vMerge/>
          </w:tcPr>
          <w:p w14:paraId="7AD7863D" w14:textId="77777777" w:rsidR="002A67B4" w:rsidRPr="007D7981" w:rsidRDefault="002A67B4" w:rsidP="002A67B4">
            <w:pPr>
              <w:jc w:val="both"/>
              <w:rPr>
                <w:rFonts w:ascii="Times New Roman" w:hAnsi="Times New Roman" w:cs="Times New Roman"/>
                <w:sz w:val="24"/>
                <w:szCs w:val="24"/>
              </w:rPr>
            </w:pPr>
          </w:p>
        </w:tc>
        <w:tc>
          <w:tcPr>
            <w:tcW w:w="2693" w:type="dxa"/>
            <w:vMerge/>
          </w:tcPr>
          <w:p w14:paraId="3945C7B9" w14:textId="77777777" w:rsidR="002A67B4" w:rsidRPr="007D7981" w:rsidRDefault="002A67B4" w:rsidP="002A67B4">
            <w:pPr>
              <w:jc w:val="both"/>
              <w:rPr>
                <w:rFonts w:ascii="Times New Roman" w:hAnsi="Times New Roman" w:cs="Times New Roman"/>
                <w:sz w:val="24"/>
                <w:szCs w:val="24"/>
              </w:rPr>
            </w:pPr>
          </w:p>
        </w:tc>
        <w:tc>
          <w:tcPr>
            <w:tcW w:w="1185" w:type="dxa"/>
          </w:tcPr>
          <w:p w14:paraId="450BDDE5" w14:textId="6BD344EC" w:rsidR="002A67B4" w:rsidRPr="007D7981" w:rsidRDefault="002A67B4" w:rsidP="002A67B4">
            <w:pPr>
              <w:jc w:val="both"/>
              <w:rPr>
                <w:rFonts w:ascii="Times New Roman" w:hAnsi="Times New Roman" w:cs="Times New Roman"/>
                <w:sz w:val="24"/>
                <w:szCs w:val="24"/>
              </w:rPr>
            </w:pPr>
            <w:r w:rsidRPr="007D7981">
              <w:rPr>
                <w:rFonts w:ascii="Times New Roman" w:hAnsi="Times New Roman" w:cs="Times New Roman"/>
                <w:sz w:val="24"/>
                <w:szCs w:val="24"/>
              </w:rPr>
              <w:t>Former smokers</w:t>
            </w:r>
          </w:p>
        </w:tc>
        <w:tc>
          <w:tcPr>
            <w:tcW w:w="3158" w:type="dxa"/>
          </w:tcPr>
          <w:p w14:paraId="0F6C6BC1" w14:textId="6C88BE4B" w:rsidR="002A67B4" w:rsidRPr="007D7981" w:rsidRDefault="002A67B4" w:rsidP="002A67B4">
            <w:pPr>
              <w:jc w:val="both"/>
              <w:rPr>
                <w:rFonts w:ascii="Times New Roman" w:hAnsi="Times New Roman" w:cs="Times New Roman"/>
                <w:sz w:val="24"/>
                <w:szCs w:val="24"/>
              </w:rPr>
            </w:pPr>
            <w:r w:rsidRPr="007D7981">
              <w:rPr>
                <w:rFonts w:ascii="Times New Roman" w:hAnsi="Times New Roman" w:cs="Times New Roman"/>
                <w:sz w:val="24"/>
                <w:szCs w:val="24"/>
              </w:rPr>
              <w:t>RR= 1.19 (95% CI 1.09, 1.31)</w:t>
            </w:r>
          </w:p>
        </w:tc>
      </w:tr>
      <w:tr w:rsidR="00933F40" w:rsidRPr="007D7981" w14:paraId="49456AD4" w14:textId="77777777" w:rsidTr="002A67B4">
        <w:tc>
          <w:tcPr>
            <w:tcW w:w="1980" w:type="dxa"/>
          </w:tcPr>
          <w:p w14:paraId="763C90F8" w14:textId="549F26B9" w:rsidR="00933F40" w:rsidRPr="007D7981" w:rsidRDefault="002A67B4" w:rsidP="00933F40">
            <w:pPr>
              <w:jc w:val="both"/>
              <w:rPr>
                <w:rFonts w:ascii="Times New Roman" w:hAnsi="Times New Roman" w:cs="Times New Roman"/>
                <w:sz w:val="24"/>
                <w:szCs w:val="24"/>
              </w:rPr>
            </w:pPr>
            <w:r w:rsidRPr="007D7981">
              <w:rPr>
                <w:rFonts w:ascii="Times New Roman" w:hAnsi="Times New Roman" w:cs="Times New Roman"/>
                <w:sz w:val="24"/>
                <w:szCs w:val="24"/>
              </w:rPr>
              <w:t>Yuan et al., 2019</w:t>
            </w:r>
          </w:p>
        </w:tc>
        <w:tc>
          <w:tcPr>
            <w:tcW w:w="2693" w:type="dxa"/>
          </w:tcPr>
          <w:p w14:paraId="0C927056" w14:textId="764E8514" w:rsidR="00933F40" w:rsidRPr="007D7981" w:rsidRDefault="002A67B4" w:rsidP="00933F40">
            <w:pPr>
              <w:jc w:val="both"/>
              <w:rPr>
                <w:rFonts w:ascii="Times New Roman" w:hAnsi="Times New Roman" w:cs="Times New Roman"/>
                <w:sz w:val="24"/>
                <w:szCs w:val="24"/>
              </w:rPr>
            </w:pPr>
            <w:r w:rsidRPr="007D7981">
              <w:rPr>
                <w:rFonts w:ascii="Times New Roman" w:hAnsi="Times New Roman" w:cs="Times New Roman"/>
                <w:sz w:val="24"/>
                <w:szCs w:val="24"/>
              </w:rPr>
              <w:t>20 studies (n= 5,077,289 participants)</w:t>
            </w:r>
          </w:p>
        </w:tc>
        <w:tc>
          <w:tcPr>
            <w:tcW w:w="4343" w:type="dxa"/>
            <w:gridSpan w:val="2"/>
          </w:tcPr>
          <w:p w14:paraId="68EC38A1" w14:textId="173C6475" w:rsidR="00933F40" w:rsidRPr="007D7981" w:rsidRDefault="002A67B4" w:rsidP="00933F40">
            <w:pPr>
              <w:jc w:val="both"/>
              <w:rPr>
                <w:rFonts w:ascii="Times New Roman" w:hAnsi="Times New Roman" w:cs="Times New Roman"/>
                <w:sz w:val="24"/>
                <w:szCs w:val="24"/>
              </w:rPr>
            </w:pPr>
            <w:r w:rsidRPr="007D7981">
              <w:rPr>
                <w:rFonts w:ascii="Times New Roman" w:hAnsi="Times New Roman" w:cs="Times New Roman"/>
                <w:sz w:val="24"/>
                <w:szCs w:val="24"/>
              </w:rPr>
              <w:t>Ever smoked; RR= 1.02 (95% CI 0.98, 1.04)</w:t>
            </w:r>
          </w:p>
        </w:tc>
      </w:tr>
    </w:tbl>
    <w:p w14:paraId="60D3FD9C" w14:textId="02E699CD" w:rsidR="00933F40" w:rsidRPr="007D7981" w:rsidRDefault="00933F40" w:rsidP="00933F40">
      <w:pPr>
        <w:jc w:val="both"/>
        <w:rPr>
          <w:rFonts w:ascii="Times New Roman" w:hAnsi="Times New Roman" w:cs="Times New Roman"/>
          <w:sz w:val="24"/>
          <w:szCs w:val="24"/>
        </w:rPr>
      </w:pPr>
    </w:p>
    <w:p w14:paraId="63A6F0E9" w14:textId="621DA614" w:rsidR="002A67B4" w:rsidRPr="007D7981" w:rsidRDefault="002A67B4" w:rsidP="002A67B4">
      <w:pPr>
        <w:pStyle w:val="ListParagraph"/>
        <w:numPr>
          <w:ilvl w:val="0"/>
          <w:numId w:val="10"/>
        </w:numPr>
        <w:jc w:val="both"/>
        <w:rPr>
          <w:rFonts w:ascii="Times New Roman" w:hAnsi="Times New Roman" w:cs="Times New Roman"/>
          <w:b/>
          <w:bCs/>
          <w:sz w:val="24"/>
          <w:szCs w:val="24"/>
        </w:rPr>
      </w:pPr>
      <w:r w:rsidRPr="007D7981">
        <w:rPr>
          <w:rFonts w:ascii="Times New Roman" w:hAnsi="Times New Roman" w:cs="Times New Roman"/>
          <w:b/>
          <w:bCs/>
          <w:sz w:val="24"/>
          <w:szCs w:val="24"/>
        </w:rPr>
        <w:t>Chronic obstructive lung disease (COPD)</w:t>
      </w:r>
    </w:p>
    <w:p w14:paraId="2679295B" w14:textId="676AFC8F" w:rsidR="002A67B4" w:rsidRDefault="002A67B4" w:rsidP="007D7981">
      <w:pPr>
        <w:spacing w:line="360" w:lineRule="auto"/>
        <w:jc w:val="both"/>
        <w:rPr>
          <w:rFonts w:ascii="Times New Roman" w:hAnsi="Times New Roman" w:cs="Times New Roman"/>
          <w:sz w:val="24"/>
          <w:szCs w:val="24"/>
        </w:rPr>
      </w:pPr>
      <w:r w:rsidRPr="007D7981">
        <w:rPr>
          <w:rFonts w:ascii="Times New Roman" w:hAnsi="Times New Roman" w:cs="Times New Roman"/>
          <w:sz w:val="24"/>
          <w:szCs w:val="24"/>
        </w:rPr>
        <w:t xml:space="preserve">Chronic obstructive pulmonary disease (COPD) is a major and growing cause of morbidity and mortality worldwide. </w:t>
      </w:r>
      <w:r w:rsidR="00156E8E" w:rsidRPr="007D7981">
        <w:rPr>
          <w:rFonts w:ascii="Times New Roman" w:hAnsi="Times New Roman" w:cs="Times New Roman"/>
          <w:sz w:val="24"/>
          <w:szCs w:val="24"/>
        </w:rPr>
        <w:t>A summary of findings table regarding the strength of association between tobacco smoking and risk of COPD is presented below. The data has been obtained from systematic reviews and meta-analyses of population-based studies.</w:t>
      </w:r>
    </w:p>
    <w:p w14:paraId="0E67E45A" w14:textId="77777777" w:rsidR="007D7981" w:rsidRPr="007D7981" w:rsidRDefault="007D7981" w:rsidP="002A67B4">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980"/>
        <w:gridCol w:w="2685"/>
        <w:gridCol w:w="1193"/>
        <w:gridCol w:w="3158"/>
      </w:tblGrid>
      <w:tr w:rsidR="00156E8E" w:rsidRPr="007D7981" w14:paraId="300DB123" w14:textId="77777777" w:rsidTr="00156E8E">
        <w:tc>
          <w:tcPr>
            <w:tcW w:w="1980" w:type="dxa"/>
          </w:tcPr>
          <w:p w14:paraId="5EFE40AF" w14:textId="7777777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b/>
                <w:bCs/>
                <w:sz w:val="24"/>
                <w:szCs w:val="24"/>
              </w:rPr>
              <w:t>Study</w:t>
            </w:r>
          </w:p>
        </w:tc>
        <w:tc>
          <w:tcPr>
            <w:tcW w:w="2685" w:type="dxa"/>
          </w:tcPr>
          <w:p w14:paraId="5B045E5A" w14:textId="7777777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b/>
                <w:bCs/>
                <w:sz w:val="24"/>
                <w:szCs w:val="24"/>
              </w:rPr>
              <w:t>Number of participants</w:t>
            </w:r>
          </w:p>
        </w:tc>
        <w:tc>
          <w:tcPr>
            <w:tcW w:w="4351" w:type="dxa"/>
            <w:gridSpan w:val="2"/>
          </w:tcPr>
          <w:p w14:paraId="51A4884C" w14:textId="7777777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b/>
                <w:bCs/>
                <w:sz w:val="24"/>
                <w:szCs w:val="24"/>
              </w:rPr>
              <w:t>Strength of association</w:t>
            </w:r>
          </w:p>
        </w:tc>
      </w:tr>
      <w:tr w:rsidR="00156E8E" w:rsidRPr="007D7981" w14:paraId="24F959E0" w14:textId="77777777" w:rsidTr="00156E8E">
        <w:trPr>
          <w:trHeight w:val="270"/>
        </w:trPr>
        <w:tc>
          <w:tcPr>
            <w:tcW w:w="1980" w:type="dxa"/>
            <w:vMerge w:val="restart"/>
          </w:tcPr>
          <w:p w14:paraId="203F7779" w14:textId="7777777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Forey et al., 2011</w:t>
            </w:r>
          </w:p>
          <w:p w14:paraId="18516A47" w14:textId="7A392B20"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(COPD)</w:t>
            </w:r>
          </w:p>
        </w:tc>
        <w:tc>
          <w:tcPr>
            <w:tcW w:w="2685" w:type="dxa"/>
            <w:vMerge w:val="restart"/>
          </w:tcPr>
          <w:p w14:paraId="0666E21D" w14:textId="3FF54986"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 xml:space="preserve">133 studies </w:t>
            </w:r>
          </w:p>
        </w:tc>
        <w:tc>
          <w:tcPr>
            <w:tcW w:w="1193" w:type="dxa"/>
          </w:tcPr>
          <w:p w14:paraId="33FD2E7B" w14:textId="7777777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Current smokers</w:t>
            </w:r>
          </w:p>
        </w:tc>
        <w:tc>
          <w:tcPr>
            <w:tcW w:w="3158" w:type="dxa"/>
          </w:tcPr>
          <w:p w14:paraId="12ECE427" w14:textId="6ABE53CE"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RR= 3.51 (95% CI 3.08, 3.99)</w:t>
            </w:r>
          </w:p>
        </w:tc>
      </w:tr>
      <w:tr w:rsidR="00156E8E" w:rsidRPr="007D7981" w14:paraId="5ADA8D1C" w14:textId="77777777" w:rsidTr="00156E8E">
        <w:trPr>
          <w:trHeight w:val="255"/>
        </w:trPr>
        <w:tc>
          <w:tcPr>
            <w:tcW w:w="1980" w:type="dxa"/>
            <w:vMerge/>
          </w:tcPr>
          <w:p w14:paraId="0CF9B893" w14:textId="77777777" w:rsidR="00156E8E" w:rsidRPr="007D7981" w:rsidRDefault="00156E8E" w:rsidP="00156E8E">
            <w:pPr>
              <w:jc w:val="both"/>
              <w:rPr>
                <w:rFonts w:ascii="Times New Roman" w:hAnsi="Times New Roman" w:cs="Times New Roman"/>
                <w:sz w:val="24"/>
                <w:szCs w:val="24"/>
              </w:rPr>
            </w:pPr>
          </w:p>
        </w:tc>
        <w:tc>
          <w:tcPr>
            <w:tcW w:w="2685" w:type="dxa"/>
            <w:vMerge/>
          </w:tcPr>
          <w:p w14:paraId="632A9CD7" w14:textId="77777777" w:rsidR="00156E8E" w:rsidRPr="007D7981" w:rsidRDefault="00156E8E" w:rsidP="00156E8E">
            <w:pPr>
              <w:jc w:val="both"/>
              <w:rPr>
                <w:rFonts w:ascii="Times New Roman" w:hAnsi="Times New Roman" w:cs="Times New Roman"/>
                <w:sz w:val="24"/>
                <w:szCs w:val="24"/>
              </w:rPr>
            </w:pPr>
          </w:p>
        </w:tc>
        <w:tc>
          <w:tcPr>
            <w:tcW w:w="1193" w:type="dxa"/>
          </w:tcPr>
          <w:p w14:paraId="74CFE235" w14:textId="7777777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Former smokers</w:t>
            </w:r>
          </w:p>
        </w:tc>
        <w:tc>
          <w:tcPr>
            <w:tcW w:w="3158" w:type="dxa"/>
          </w:tcPr>
          <w:p w14:paraId="6625FFFD" w14:textId="6F903E61"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RR= 2.89 (95% CI 2.63, 3.17)</w:t>
            </w:r>
          </w:p>
        </w:tc>
      </w:tr>
      <w:tr w:rsidR="00156E8E" w:rsidRPr="007D7981" w14:paraId="4007E4DA" w14:textId="77777777" w:rsidTr="00156E8E">
        <w:trPr>
          <w:trHeight w:val="330"/>
        </w:trPr>
        <w:tc>
          <w:tcPr>
            <w:tcW w:w="1980" w:type="dxa"/>
            <w:vMerge w:val="restart"/>
          </w:tcPr>
          <w:p w14:paraId="617E3F2D" w14:textId="7777777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Forey et al., 2011</w:t>
            </w:r>
          </w:p>
          <w:p w14:paraId="0D646336" w14:textId="6C5F8C12"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(Chronic bronchitis)</w:t>
            </w:r>
          </w:p>
        </w:tc>
        <w:tc>
          <w:tcPr>
            <w:tcW w:w="2685" w:type="dxa"/>
            <w:vMerge w:val="restart"/>
          </w:tcPr>
          <w:p w14:paraId="5F3EC1A4" w14:textId="553EACE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 xml:space="preserve">101 studies </w:t>
            </w:r>
          </w:p>
        </w:tc>
        <w:tc>
          <w:tcPr>
            <w:tcW w:w="1193" w:type="dxa"/>
          </w:tcPr>
          <w:p w14:paraId="0597A52C" w14:textId="7777777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Current smokers</w:t>
            </w:r>
          </w:p>
        </w:tc>
        <w:tc>
          <w:tcPr>
            <w:tcW w:w="3158" w:type="dxa"/>
          </w:tcPr>
          <w:p w14:paraId="25A82E60" w14:textId="4D75214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RR= 3.41 (95% CI 3.13, 3.72)</w:t>
            </w:r>
          </w:p>
        </w:tc>
      </w:tr>
      <w:tr w:rsidR="00156E8E" w:rsidRPr="007D7981" w14:paraId="1874929B" w14:textId="77777777" w:rsidTr="00156E8E">
        <w:trPr>
          <w:trHeight w:val="195"/>
        </w:trPr>
        <w:tc>
          <w:tcPr>
            <w:tcW w:w="1980" w:type="dxa"/>
            <w:vMerge/>
          </w:tcPr>
          <w:p w14:paraId="09E36015" w14:textId="77777777" w:rsidR="00156E8E" w:rsidRPr="007D7981" w:rsidRDefault="00156E8E" w:rsidP="00156E8E">
            <w:pPr>
              <w:jc w:val="both"/>
              <w:rPr>
                <w:rFonts w:ascii="Times New Roman" w:hAnsi="Times New Roman" w:cs="Times New Roman"/>
                <w:sz w:val="24"/>
                <w:szCs w:val="24"/>
              </w:rPr>
            </w:pPr>
          </w:p>
        </w:tc>
        <w:tc>
          <w:tcPr>
            <w:tcW w:w="2685" w:type="dxa"/>
            <w:vMerge/>
          </w:tcPr>
          <w:p w14:paraId="72E9B3C8" w14:textId="77777777" w:rsidR="00156E8E" w:rsidRPr="007D7981" w:rsidRDefault="00156E8E" w:rsidP="00156E8E">
            <w:pPr>
              <w:jc w:val="both"/>
              <w:rPr>
                <w:rFonts w:ascii="Times New Roman" w:hAnsi="Times New Roman" w:cs="Times New Roman"/>
                <w:sz w:val="24"/>
                <w:szCs w:val="24"/>
              </w:rPr>
            </w:pPr>
          </w:p>
        </w:tc>
        <w:tc>
          <w:tcPr>
            <w:tcW w:w="1193" w:type="dxa"/>
          </w:tcPr>
          <w:p w14:paraId="0AA2FBAB" w14:textId="7777777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Former smokers</w:t>
            </w:r>
          </w:p>
        </w:tc>
        <w:tc>
          <w:tcPr>
            <w:tcW w:w="3158" w:type="dxa"/>
          </w:tcPr>
          <w:p w14:paraId="299D73EA" w14:textId="266FD14B"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RR= 2.69 (95% CI 2.5, 2.9)</w:t>
            </w:r>
          </w:p>
        </w:tc>
      </w:tr>
      <w:tr w:rsidR="00156E8E" w:rsidRPr="007D7981" w14:paraId="3EC8FF10" w14:textId="19649D58" w:rsidTr="00156E8E">
        <w:trPr>
          <w:trHeight w:val="285"/>
        </w:trPr>
        <w:tc>
          <w:tcPr>
            <w:tcW w:w="1980" w:type="dxa"/>
            <w:vMerge w:val="restart"/>
          </w:tcPr>
          <w:p w14:paraId="2E476934" w14:textId="77777777"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Forey et al., 2011</w:t>
            </w:r>
          </w:p>
          <w:p w14:paraId="4B28F96F" w14:textId="71BA5BF4"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(Emphysema)</w:t>
            </w:r>
          </w:p>
        </w:tc>
        <w:tc>
          <w:tcPr>
            <w:tcW w:w="2685" w:type="dxa"/>
            <w:vMerge w:val="restart"/>
          </w:tcPr>
          <w:p w14:paraId="7DF5E8D8" w14:textId="2E2C43E6"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 xml:space="preserve">28 studies </w:t>
            </w:r>
          </w:p>
        </w:tc>
        <w:tc>
          <w:tcPr>
            <w:tcW w:w="1193" w:type="dxa"/>
          </w:tcPr>
          <w:p w14:paraId="5DF29849" w14:textId="273784FF"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Current smokers</w:t>
            </w:r>
          </w:p>
        </w:tc>
        <w:tc>
          <w:tcPr>
            <w:tcW w:w="3158" w:type="dxa"/>
          </w:tcPr>
          <w:p w14:paraId="43F4F908" w14:textId="5ACDDA21"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RR= 4.87 (95% CI 2.83, 3.41)</w:t>
            </w:r>
          </w:p>
        </w:tc>
      </w:tr>
      <w:tr w:rsidR="00156E8E" w:rsidRPr="007D7981" w14:paraId="14E0D25B" w14:textId="4F567AD3" w:rsidTr="00156E8E">
        <w:trPr>
          <w:trHeight w:val="255"/>
        </w:trPr>
        <w:tc>
          <w:tcPr>
            <w:tcW w:w="1980" w:type="dxa"/>
            <w:vMerge/>
          </w:tcPr>
          <w:p w14:paraId="60D8022E" w14:textId="77777777" w:rsidR="00156E8E" w:rsidRPr="007D7981" w:rsidRDefault="00156E8E" w:rsidP="00156E8E">
            <w:pPr>
              <w:jc w:val="both"/>
              <w:rPr>
                <w:rFonts w:ascii="Times New Roman" w:hAnsi="Times New Roman" w:cs="Times New Roman"/>
                <w:sz w:val="24"/>
                <w:szCs w:val="24"/>
              </w:rPr>
            </w:pPr>
          </w:p>
        </w:tc>
        <w:tc>
          <w:tcPr>
            <w:tcW w:w="2685" w:type="dxa"/>
            <w:vMerge/>
          </w:tcPr>
          <w:p w14:paraId="59D88669" w14:textId="77777777" w:rsidR="00156E8E" w:rsidRPr="007D7981" w:rsidRDefault="00156E8E" w:rsidP="00156E8E">
            <w:pPr>
              <w:jc w:val="both"/>
              <w:rPr>
                <w:rFonts w:ascii="Times New Roman" w:hAnsi="Times New Roman" w:cs="Times New Roman"/>
                <w:sz w:val="24"/>
                <w:szCs w:val="24"/>
              </w:rPr>
            </w:pPr>
          </w:p>
        </w:tc>
        <w:tc>
          <w:tcPr>
            <w:tcW w:w="1193" w:type="dxa"/>
          </w:tcPr>
          <w:p w14:paraId="62A952F8" w14:textId="17F5FCB0"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Former smokers</w:t>
            </w:r>
          </w:p>
        </w:tc>
        <w:tc>
          <w:tcPr>
            <w:tcW w:w="3158" w:type="dxa"/>
          </w:tcPr>
          <w:p w14:paraId="43B2D97A" w14:textId="12FA7B12"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RR= 4.51 (95% CI 3.08, 3.99)</w:t>
            </w:r>
          </w:p>
        </w:tc>
      </w:tr>
      <w:tr w:rsidR="00156E8E" w:rsidRPr="007D7981" w14:paraId="254F5195" w14:textId="49D1D400" w:rsidTr="00156E8E">
        <w:tblPrEx>
          <w:tblLook w:val="0000" w:firstRow="0" w:lastRow="0" w:firstColumn="0" w:lastColumn="0" w:noHBand="0" w:noVBand="0"/>
        </w:tblPrEx>
        <w:trPr>
          <w:trHeight w:val="675"/>
        </w:trPr>
        <w:tc>
          <w:tcPr>
            <w:tcW w:w="1980" w:type="dxa"/>
          </w:tcPr>
          <w:p w14:paraId="02919009" w14:textId="1C0BAF28"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Wang et al., 2015</w:t>
            </w:r>
          </w:p>
        </w:tc>
        <w:tc>
          <w:tcPr>
            <w:tcW w:w="2685" w:type="dxa"/>
          </w:tcPr>
          <w:p w14:paraId="708A7042" w14:textId="58DE9540"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24 studies (93, 045 participants)</w:t>
            </w:r>
          </w:p>
        </w:tc>
        <w:tc>
          <w:tcPr>
            <w:tcW w:w="4351" w:type="dxa"/>
            <w:gridSpan w:val="2"/>
          </w:tcPr>
          <w:p w14:paraId="11BEEF73" w14:textId="4B13CDB4" w:rsidR="00156E8E" w:rsidRPr="007D7981" w:rsidRDefault="00156E8E" w:rsidP="00156E8E">
            <w:pPr>
              <w:jc w:val="both"/>
              <w:rPr>
                <w:rFonts w:ascii="Times New Roman" w:hAnsi="Times New Roman" w:cs="Times New Roman"/>
                <w:sz w:val="24"/>
                <w:szCs w:val="24"/>
              </w:rPr>
            </w:pPr>
            <w:r w:rsidRPr="007D7981">
              <w:rPr>
                <w:rFonts w:ascii="Times New Roman" w:hAnsi="Times New Roman" w:cs="Times New Roman"/>
                <w:sz w:val="24"/>
                <w:szCs w:val="24"/>
              </w:rPr>
              <w:t>Ever smoked RR= 2.90 (95% CI 2.22, 3.80)</w:t>
            </w:r>
          </w:p>
        </w:tc>
      </w:tr>
    </w:tbl>
    <w:p w14:paraId="6C8A1A83" w14:textId="51C74D94" w:rsidR="00156E8E" w:rsidRPr="007D7981" w:rsidRDefault="00156E8E" w:rsidP="002A67B4">
      <w:pPr>
        <w:jc w:val="both"/>
        <w:rPr>
          <w:rFonts w:ascii="Times New Roman" w:hAnsi="Times New Roman" w:cs="Times New Roman"/>
          <w:sz w:val="24"/>
          <w:szCs w:val="24"/>
        </w:rPr>
      </w:pPr>
    </w:p>
    <w:p w14:paraId="65F802C7" w14:textId="768F683A" w:rsidR="00156E8E" w:rsidRPr="007D7981" w:rsidRDefault="00156E8E" w:rsidP="002A67B4">
      <w:pPr>
        <w:jc w:val="both"/>
        <w:rPr>
          <w:rFonts w:ascii="Times New Roman" w:hAnsi="Times New Roman" w:cs="Times New Roman"/>
          <w:sz w:val="24"/>
          <w:szCs w:val="24"/>
        </w:rPr>
      </w:pPr>
    </w:p>
    <w:p w14:paraId="769E7466" w14:textId="37E46CA9" w:rsidR="00156E8E" w:rsidRPr="007D7981" w:rsidRDefault="00156E8E" w:rsidP="002A67B4">
      <w:pPr>
        <w:jc w:val="both"/>
        <w:rPr>
          <w:rFonts w:ascii="Times New Roman" w:hAnsi="Times New Roman" w:cs="Times New Roman"/>
          <w:sz w:val="24"/>
          <w:szCs w:val="24"/>
        </w:rPr>
      </w:pPr>
    </w:p>
    <w:p w14:paraId="51294FC2" w14:textId="38E5A071" w:rsidR="00156E8E" w:rsidRPr="007D7981" w:rsidRDefault="00156E8E" w:rsidP="002A67B4">
      <w:pPr>
        <w:jc w:val="both"/>
        <w:rPr>
          <w:rFonts w:ascii="Times New Roman" w:hAnsi="Times New Roman" w:cs="Times New Roman"/>
          <w:sz w:val="24"/>
          <w:szCs w:val="24"/>
        </w:rPr>
      </w:pPr>
    </w:p>
    <w:p w14:paraId="42FEBA76" w14:textId="1AF99C80" w:rsidR="00156E8E" w:rsidRPr="007D7981" w:rsidRDefault="006D29EA" w:rsidP="00156E8E">
      <w:pPr>
        <w:pStyle w:val="ListParagraph"/>
        <w:numPr>
          <w:ilvl w:val="0"/>
          <w:numId w:val="10"/>
        </w:numPr>
        <w:jc w:val="both"/>
        <w:rPr>
          <w:rFonts w:ascii="Times New Roman" w:hAnsi="Times New Roman" w:cs="Times New Roman"/>
          <w:b/>
          <w:bCs/>
          <w:sz w:val="24"/>
          <w:szCs w:val="24"/>
        </w:rPr>
      </w:pPr>
      <w:r w:rsidRPr="007D7981">
        <w:rPr>
          <w:rFonts w:ascii="Times New Roman" w:hAnsi="Times New Roman" w:cs="Times New Roman"/>
          <w:b/>
          <w:bCs/>
          <w:sz w:val="24"/>
          <w:szCs w:val="24"/>
        </w:rPr>
        <w:t>Cardiovascular diseases (CVDs).</w:t>
      </w:r>
    </w:p>
    <w:p w14:paraId="59A98A70" w14:textId="1F30709B" w:rsidR="006D29EA" w:rsidRPr="007D7981" w:rsidRDefault="006D29EA" w:rsidP="007D7981">
      <w:pPr>
        <w:spacing w:line="360" w:lineRule="auto"/>
        <w:jc w:val="both"/>
        <w:rPr>
          <w:rFonts w:ascii="Times New Roman" w:hAnsi="Times New Roman" w:cs="Times New Roman"/>
          <w:sz w:val="24"/>
          <w:szCs w:val="24"/>
        </w:rPr>
      </w:pPr>
      <w:r w:rsidRPr="007D7981">
        <w:rPr>
          <w:rFonts w:ascii="Times New Roman" w:hAnsi="Times New Roman" w:cs="Times New Roman"/>
          <w:color w:val="000000"/>
          <w:sz w:val="24"/>
          <w:szCs w:val="24"/>
          <w:shd w:val="clear" w:color="auto" w:fill="FFFFFF"/>
        </w:rPr>
        <w:t xml:space="preserve">To date, numerous studies have reported associations between tobacco smoking and the risk of cardiovascular diseases (CVDs). </w:t>
      </w:r>
      <w:r w:rsidRPr="007D7981">
        <w:rPr>
          <w:rFonts w:ascii="Times New Roman" w:hAnsi="Times New Roman" w:cs="Times New Roman"/>
          <w:sz w:val="24"/>
          <w:szCs w:val="24"/>
        </w:rPr>
        <w:t xml:space="preserve">A summary of findings table regarding the strength of association between tobacco smoking and risk of COPD based on systematic reviews and meta-analyses of population-based studies is presented below.  </w:t>
      </w:r>
    </w:p>
    <w:p w14:paraId="205CBFF4" w14:textId="77777777" w:rsidR="006D29EA" w:rsidRPr="007D7981" w:rsidRDefault="006D29EA" w:rsidP="006D29EA">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203"/>
        <w:gridCol w:w="1516"/>
        <w:gridCol w:w="2422"/>
        <w:gridCol w:w="1149"/>
        <w:gridCol w:w="7"/>
        <w:gridCol w:w="2719"/>
      </w:tblGrid>
      <w:tr w:rsidR="006D29EA" w:rsidRPr="007D7981" w14:paraId="11886F28" w14:textId="77777777" w:rsidTr="007D7981">
        <w:tc>
          <w:tcPr>
            <w:tcW w:w="1168" w:type="dxa"/>
          </w:tcPr>
          <w:p w14:paraId="2FFC7332" w14:textId="414B6703" w:rsidR="006D29EA" w:rsidRPr="007D7981" w:rsidRDefault="006D29EA" w:rsidP="006D29EA">
            <w:pPr>
              <w:jc w:val="both"/>
              <w:rPr>
                <w:rFonts w:ascii="Times New Roman" w:hAnsi="Times New Roman" w:cs="Times New Roman"/>
                <w:b/>
                <w:bCs/>
                <w:sz w:val="24"/>
                <w:szCs w:val="24"/>
              </w:rPr>
            </w:pPr>
            <w:r w:rsidRPr="007D7981">
              <w:rPr>
                <w:rFonts w:ascii="Times New Roman" w:hAnsi="Times New Roman" w:cs="Times New Roman"/>
                <w:b/>
                <w:bCs/>
                <w:sz w:val="24"/>
                <w:szCs w:val="24"/>
              </w:rPr>
              <w:t>CVD</w:t>
            </w:r>
          </w:p>
        </w:tc>
        <w:tc>
          <w:tcPr>
            <w:tcW w:w="1521" w:type="dxa"/>
          </w:tcPr>
          <w:p w14:paraId="02DC2287" w14:textId="77777777" w:rsidR="006D29EA" w:rsidRPr="007D7981" w:rsidRDefault="006D29EA" w:rsidP="006D29EA">
            <w:pPr>
              <w:jc w:val="both"/>
              <w:rPr>
                <w:rFonts w:ascii="Times New Roman" w:hAnsi="Times New Roman" w:cs="Times New Roman"/>
                <w:b/>
                <w:bCs/>
                <w:sz w:val="24"/>
                <w:szCs w:val="24"/>
              </w:rPr>
            </w:pPr>
            <w:r w:rsidRPr="007D7981">
              <w:rPr>
                <w:rFonts w:ascii="Times New Roman" w:hAnsi="Times New Roman" w:cs="Times New Roman"/>
                <w:b/>
                <w:bCs/>
                <w:sz w:val="24"/>
                <w:szCs w:val="24"/>
              </w:rPr>
              <w:t>Study</w:t>
            </w:r>
          </w:p>
        </w:tc>
        <w:tc>
          <w:tcPr>
            <w:tcW w:w="2450" w:type="dxa"/>
          </w:tcPr>
          <w:p w14:paraId="522554F5" w14:textId="77777777" w:rsidR="006D29EA" w:rsidRPr="007D7981" w:rsidRDefault="006D29EA" w:rsidP="006D29EA">
            <w:pPr>
              <w:jc w:val="both"/>
              <w:rPr>
                <w:rFonts w:ascii="Times New Roman" w:hAnsi="Times New Roman" w:cs="Times New Roman"/>
                <w:b/>
                <w:bCs/>
                <w:sz w:val="24"/>
                <w:szCs w:val="24"/>
              </w:rPr>
            </w:pPr>
            <w:r w:rsidRPr="007D7981">
              <w:rPr>
                <w:rFonts w:ascii="Times New Roman" w:hAnsi="Times New Roman" w:cs="Times New Roman"/>
                <w:b/>
                <w:bCs/>
                <w:sz w:val="24"/>
                <w:szCs w:val="24"/>
              </w:rPr>
              <w:t>Number of participants</w:t>
            </w:r>
          </w:p>
        </w:tc>
        <w:tc>
          <w:tcPr>
            <w:tcW w:w="3877" w:type="dxa"/>
            <w:gridSpan w:val="3"/>
          </w:tcPr>
          <w:p w14:paraId="7D391285" w14:textId="77777777" w:rsidR="006D29EA" w:rsidRPr="007D7981" w:rsidRDefault="006D29EA" w:rsidP="006D29EA">
            <w:pPr>
              <w:jc w:val="both"/>
              <w:rPr>
                <w:rFonts w:ascii="Times New Roman" w:hAnsi="Times New Roman" w:cs="Times New Roman"/>
                <w:b/>
                <w:bCs/>
                <w:sz w:val="24"/>
                <w:szCs w:val="24"/>
              </w:rPr>
            </w:pPr>
            <w:r w:rsidRPr="007D7981">
              <w:rPr>
                <w:rFonts w:ascii="Times New Roman" w:hAnsi="Times New Roman" w:cs="Times New Roman"/>
                <w:b/>
                <w:bCs/>
                <w:sz w:val="24"/>
                <w:szCs w:val="24"/>
              </w:rPr>
              <w:t>Strength of association</w:t>
            </w:r>
          </w:p>
        </w:tc>
      </w:tr>
      <w:tr w:rsidR="006D29EA" w:rsidRPr="007D7981" w14:paraId="54D68FD0" w14:textId="77777777" w:rsidTr="007D7981">
        <w:trPr>
          <w:trHeight w:val="240"/>
        </w:trPr>
        <w:tc>
          <w:tcPr>
            <w:tcW w:w="1168" w:type="dxa"/>
            <w:vMerge w:val="restart"/>
          </w:tcPr>
          <w:p w14:paraId="3A1D084E" w14:textId="3217B9FA"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Heart failure</w:t>
            </w:r>
          </w:p>
        </w:tc>
        <w:tc>
          <w:tcPr>
            <w:tcW w:w="1521" w:type="dxa"/>
            <w:vMerge w:val="restart"/>
          </w:tcPr>
          <w:p w14:paraId="06D469B6" w14:textId="4D6E4B58"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Lee and Son, 2019</w:t>
            </w:r>
          </w:p>
        </w:tc>
        <w:tc>
          <w:tcPr>
            <w:tcW w:w="2450" w:type="dxa"/>
            <w:vMerge w:val="restart"/>
          </w:tcPr>
          <w:p w14:paraId="1DE828A3" w14:textId="5ACA8F61"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7 studies (n=47,585 participants)</w:t>
            </w:r>
          </w:p>
        </w:tc>
        <w:tc>
          <w:tcPr>
            <w:tcW w:w="1108" w:type="dxa"/>
            <w:gridSpan w:val="2"/>
          </w:tcPr>
          <w:p w14:paraId="6E6BAD8F"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69" w:type="dxa"/>
          </w:tcPr>
          <w:p w14:paraId="33EE3791" w14:textId="5C3F7D6A"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HR= 1.609 (95%CI 1.470–1.761)</w:t>
            </w:r>
          </w:p>
        </w:tc>
      </w:tr>
      <w:tr w:rsidR="006D29EA" w:rsidRPr="007D7981" w14:paraId="75494CC0" w14:textId="77777777" w:rsidTr="007D7981">
        <w:trPr>
          <w:trHeight w:val="120"/>
        </w:trPr>
        <w:tc>
          <w:tcPr>
            <w:tcW w:w="1168" w:type="dxa"/>
            <w:vMerge/>
          </w:tcPr>
          <w:p w14:paraId="46580C1C" w14:textId="77777777" w:rsidR="006D29EA" w:rsidRPr="007D7981" w:rsidRDefault="006D29EA" w:rsidP="006D29EA">
            <w:pPr>
              <w:jc w:val="both"/>
              <w:rPr>
                <w:rFonts w:ascii="Times New Roman" w:hAnsi="Times New Roman" w:cs="Times New Roman"/>
                <w:sz w:val="24"/>
                <w:szCs w:val="24"/>
              </w:rPr>
            </w:pPr>
          </w:p>
        </w:tc>
        <w:tc>
          <w:tcPr>
            <w:tcW w:w="1521" w:type="dxa"/>
            <w:vMerge/>
          </w:tcPr>
          <w:p w14:paraId="3AD55714" w14:textId="77777777" w:rsidR="006D29EA" w:rsidRPr="007D7981" w:rsidRDefault="006D29EA" w:rsidP="006D29EA">
            <w:pPr>
              <w:jc w:val="both"/>
              <w:rPr>
                <w:rFonts w:ascii="Times New Roman" w:hAnsi="Times New Roman" w:cs="Times New Roman"/>
                <w:sz w:val="24"/>
                <w:szCs w:val="24"/>
              </w:rPr>
            </w:pPr>
          </w:p>
        </w:tc>
        <w:tc>
          <w:tcPr>
            <w:tcW w:w="2450" w:type="dxa"/>
            <w:vMerge/>
          </w:tcPr>
          <w:p w14:paraId="257A69FE" w14:textId="77777777" w:rsidR="006D29EA" w:rsidRPr="007D7981" w:rsidRDefault="006D29EA" w:rsidP="006D29EA">
            <w:pPr>
              <w:jc w:val="both"/>
              <w:rPr>
                <w:rFonts w:ascii="Times New Roman" w:hAnsi="Times New Roman" w:cs="Times New Roman"/>
                <w:sz w:val="24"/>
                <w:szCs w:val="24"/>
              </w:rPr>
            </w:pPr>
          </w:p>
        </w:tc>
        <w:tc>
          <w:tcPr>
            <w:tcW w:w="1108" w:type="dxa"/>
            <w:gridSpan w:val="2"/>
          </w:tcPr>
          <w:p w14:paraId="6440F2F0"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Ex-smokers</w:t>
            </w:r>
          </w:p>
        </w:tc>
        <w:tc>
          <w:tcPr>
            <w:tcW w:w="2769" w:type="dxa"/>
          </w:tcPr>
          <w:p w14:paraId="2AB4CDD6" w14:textId="5998F6C3"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color w:val="000000"/>
                <w:sz w:val="24"/>
                <w:szCs w:val="24"/>
                <w:shd w:val="clear" w:color="auto" w:fill="FFFFFF"/>
              </w:rPr>
              <w:t>HR= 1.209 (95% CI 1.084–1.348)</w:t>
            </w:r>
          </w:p>
        </w:tc>
      </w:tr>
      <w:tr w:rsidR="006D29EA" w:rsidRPr="007D7981" w14:paraId="0ED37505" w14:textId="77777777" w:rsidTr="007D7981">
        <w:trPr>
          <w:trHeight w:val="360"/>
        </w:trPr>
        <w:tc>
          <w:tcPr>
            <w:tcW w:w="1168" w:type="dxa"/>
            <w:vMerge/>
          </w:tcPr>
          <w:p w14:paraId="0906B217" w14:textId="77777777" w:rsidR="006D29EA" w:rsidRPr="007D7981" w:rsidRDefault="006D29EA" w:rsidP="006D29EA">
            <w:pPr>
              <w:jc w:val="both"/>
              <w:rPr>
                <w:rFonts w:ascii="Times New Roman" w:hAnsi="Times New Roman" w:cs="Times New Roman"/>
                <w:sz w:val="24"/>
                <w:szCs w:val="24"/>
              </w:rPr>
            </w:pPr>
          </w:p>
        </w:tc>
        <w:tc>
          <w:tcPr>
            <w:tcW w:w="1521" w:type="dxa"/>
            <w:vMerge w:val="restart"/>
          </w:tcPr>
          <w:p w14:paraId="60EAC2B8" w14:textId="173DE420"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Aune et al., 2018</w:t>
            </w:r>
          </w:p>
        </w:tc>
        <w:tc>
          <w:tcPr>
            <w:tcW w:w="2450" w:type="dxa"/>
            <w:vMerge w:val="restart"/>
          </w:tcPr>
          <w:p w14:paraId="293CE6AF" w14:textId="17CCEBA0"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26 studies</w:t>
            </w:r>
          </w:p>
        </w:tc>
        <w:tc>
          <w:tcPr>
            <w:tcW w:w="1108" w:type="dxa"/>
            <w:gridSpan w:val="2"/>
          </w:tcPr>
          <w:p w14:paraId="206A9940"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69" w:type="dxa"/>
          </w:tcPr>
          <w:p w14:paraId="3485DF47" w14:textId="03973C1B"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 xml:space="preserve">RR= </w:t>
            </w:r>
            <w:r w:rsidR="006D29EA" w:rsidRPr="007D7981">
              <w:rPr>
                <w:rFonts w:ascii="Times New Roman" w:hAnsi="Times New Roman" w:cs="Times New Roman"/>
                <w:sz w:val="24"/>
                <w:szCs w:val="24"/>
              </w:rPr>
              <w:t>1.75 (95% CI: 1.54–1.99)</w:t>
            </w:r>
          </w:p>
        </w:tc>
      </w:tr>
      <w:tr w:rsidR="006D29EA" w:rsidRPr="007D7981" w14:paraId="4BE129E3" w14:textId="77777777" w:rsidTr="007D7981">
        <w:trPr>
          <w:trHeight w:val="162"/>
        </w:trPr>
        <w:tc>
          <w:tcPr>
            <w:tcW w:w="1168" w:type="dxa"/>
            <w:vMerge/>
          </w:tcPr>
          <w:p w14:paraId="613D0C91" w14:textId="77777777" w:rsidR="006D29EA" w:rsidRPr="007D7981" w:rsidRDefault="006D29EA" w:rsidP="006D29EA">
            <w:pPr>
              <w:jc w:val="both"/>
              <w:rPr>
                <w:rFonts w:ascii="Times New Roman" w:hAnsi="Times New Roman" w:cs="Times New Roman"/>
                <w:sz w:val="24"/>
                <w:szCs w:val="24"/>
              </w:rPr>
            </w:pPr>
          </w:p>
        </w:tc>
        <w:tc>
          <w:tcPr>
            <w:tcW w:w="1521" w:type="dxa"/>
            <w:vMerge/>
          </w:tcPr>
          <w:p w14:paraId="7E180903" w14:textId="77777777" w:rsidR="006D29EA" w:rsidRPr="007D7981" w:rsidRDefault="006D29EA" w:rsidP="006D29EA">
            <w:pPr>
              <w:jc w:val="both"/>
              <w:rPr>
                <w:rFonts w:ascii="Times New Roman" w:hAnsi="Times New Roman" w:cs="Times New Roman"/>
                <w:sz w:val="24"/>
                <w:szCs w:val="24"/>
              </w:rPr>
            </w:pPr>
          </w:p>
        </w:tc>
        <w:tc>
          <w:tcPr>
            <w:tcW w:w="2450" w:type="dxa"/>
            <w:vMerge/>
          </w:tcPr>
          <w:p w14:paraId="7B1EBF55" w14:textId="77777777" w:rsidR="006D29EA" w:rsidRPr="007D7981" w:rsidRDefault="006D29EA" w:rsidP="006D29EA">
            <w:pPr>
              <w:jc w:val="both"/>
              <w:rPr>
                <w:rFonts w:ascii="Times New Roman" w:hAnsi="Times New Roman" w:cs="Times New Roman"/>
                <w:sz w:val="24"/>
                <w:szCs w:val="24"/>
              </w:rPr>
            </w:pPr>
          </w:p>
        </w:tc>
        <w:tc>
          <w:tcPr>
            <w:tcW w:w="1108" w:type="dxa"/>
            <w:gridSpan w:val="2"/>
          </w:tcPr>
          <w:p w14:paraId="659F1AD6"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Former smoker</w:t>
            </w:r>
          </w:p>
        </w:tc>
        <w:tc>
          <w:tcPr>
            <w:tcW w:w="2769" w:type="dxa"/>
          </w:tcPr>
          <w:p w14:paraId="23D5606E" w14:textId="4FB8FC06"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 xml:space="preserve">RR= </w:t>
            </w:r>
            <w:r w:rsidR="006D29EA" w:rsidRPr="007D7981">
              <w:rPr>
                <w:rFonts w:ascii="Times New Roman" w:hAnsi="Times New Roman" w:cs="Times New Roman"/>
                <w:sz w:val="24"/>
                <w:szCs w:val="24"/>
              </w:rPr>
              <w:t>1.16 (95% CI: 1.08–1.24)</w:t>
            </w:r>
          </w:p>
        </w:tc>
      </w:tr>
      <w:tr w:rsidR="006D29EA" w:rsidRPr="007D7981" w14:paraId="6E2580B4" w14:textId="77777777" w:rsidTr="007D7981">
        <w:trPr>
          <w:trHeight w:val="576"/>
        </w:trPr>
        <w:tc>
          <w:tcPr>
            <w:tcW w:w="1168" w:type="dxa"/>
          </w:tcPr>
          <w:p w14:paraId="1810BFB6" w14:textId="4CBC5BEF"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Coronary artery disease</w:t>
            </w:r>
          </w:p>
        </w:tc>
        <w:tc>
          <w:tcPr>
            <w:tcW w:w="1521" w:type="dxa"/>
          </w:tcPr>
          <w:p w14:paraId="55975F37" w14:textId="2EC004BD"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Huxley and Woodward, 2011</w:t>
            </w:r>
          </w:p>
        </w:tc>
        <w:tc>
          <w:tcPr>
            <w:tcW w:w="2450" w:type="dxa"/>
          </w:tcPr>
          <w:p w14:paraId="2B2CA05E" w14:textId="72AE3F58"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26</w:t>
            </w:r>
            <w:r w:rsidR="006D29EA" w:rsidRPr="007D7981">
              <w:rPr>
                <w:rFonts w:ascii="Times New Roman" w:hAnsi="Times New Roman" w:cs="Times New Roman"/>
                <w:sz w:val="24"/>
                <w:szCs w:val="24"/>
              </w:rPr>
              <w:t xml:space="preserve"> studies</w:t>
            </w:r>
            <w:r w:rsidRPr="007D7981">
              <w:rPr>
                <w:rFonts w:ascii="Times New Roman" w:hAnsi="Times New Roman" w:cs="Times New Roman"/>
                <w:sz w:val="24"/>
                <w:szCs w:val="24"/>
              </w:rPr>
              <w:t xml:space="preserve"> (3, 912, 809)</w:t>
            </w:r>
          </w:p>
        </w:tc>
        <w:tc>
          <w:tcPr>
            <w:tcW w:w="1101" w:type="dxa"/>
          </w:tcPr>
          <w:p w14:paraId="6A10F263"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76" w:type="dxa"/>
            <w:gridSpan w:val="2"/>
          </w:tcPr>
          <w:p w14:paraId="272FC1AB" w14:textId="4B942165"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RR= 1·25 (95% CI 1·12–1·39)</w:t>
            </w:r>
          </w:p>
        </w:tc>
      </w:tr>
      <w:tr w:rsidR="006D29EA" w:rsidRPr="007D7981" w14:paraId="7AFFF1FE" w14:textId="77777777" w:rsidTr="007D7981">
        <w:trPr>
          <w:trHeight w:val="285"/>
        </w:trPr>
        <w:tc>
          <w:tcPr>
            <w:tcW w:w="1168" w:type="dxa"/>
            <w:vMerge w:val="restart"/>
          </w:tcPr>
          <w:p w14:paraId="7F188838" w14:textId="6BC58342"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Sudden cardiac death</w:t>
            </w:r>
          </w:p>
        </w:tc>
        <w:tc>
          <w:tcPr>
            <w:tcW w:w="1521" w:type="dxa"/>
            <w:vMerge w:val="restart"/>
          </w:tcPr>
          <w:p w14:paraId="6B2EBB89"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Islami et al., 2014</w:t>
            </w:r>
          </w:p>
        </w:tc>
        <w:tc>
          <w:tcPr>
            <w:tcW w:w="2450" w:type="dxa"/>
            <w:vMerge w:val="restart"/>
          </w:tcPr>
          <w:p w14:paraId="7ADD65E3"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51 studies (4,082,606 participants)</w:t>
            </w:r>
          </w:p>
        </w:tc>
        <w:tc>
          <w:tcPr>
            <w:tcW w:w="1101" w:type="dxa"/>
          </w:tcPr>
          <w:p w14:paraId="1A9A9DB1"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76" w:type="dxa"/>
            <w:gridSpan w:val="2"/>
          </w:tcPr>
          <w:p w14:paraId="38A05C41" w14:textId="739FCFF9"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color w:val="000000"/>
                <w:sz w:val="24"/>
                <w:szCs w:val="24"/>
                <w:shd w:val="clear" w:color="auto" w:fill="FFFFFF"/>
              </w:rPr>
              <w:t>RR= 3.06 (95% CI 2.46–3.82)</w:t>
            </w:r>
          </w:p>
        </w:tc>
      </w:tr>
      <w:tr w:rsidR="006D29EA" w:rsidRPr="007D7981" w14:paraId="6DA3921A" w14:textId="77777777" w:rsidTr="007D7981">
        <w:trPr>
          <w:trHeight w:val="240"/>
        </w:trPr>
        <w:tc>
          <w:tcPr>
            <w:tcW w:w="1168" w:type="dxa"/>
            <w:vMerge/>
          </w:tcPr>
          <w:p w14:paraId="47F388F2" w14:textId="77777777" w:rsidR="006D29EA" w:rsidRPr="007D7981" w:rsidRDefault="006D29EA" w:rsidP="006D29EA">
            <w:pPr>
              <w:jc w:val="both"/>
              <w:rPr>
                <w:rFonts w:ascii="Times New Roman" w:hAnsi="Times New Roman" w:cs="Times New Roman"/>
                <w:sz w:val="24"/>
                <w:szCs w:val="24"/>
              </w:rPr>
            </w:pPr>
          </w:p>
        </w:tc>
        <w:tc>
          <w:tcPr>
            <w:tcW w:w="1521" w:type="dxa"/>
            <w:vMerge/>
          </w:tcPr>
          <w:p w14:paraId="64D98680" w14:textId="77777777" w:rsidR="006D29EA" w:rsidRPr="007D7981" w:rsidRDefault="006D29EA" w:rsidP="006D29EA">
            <w:pPr>
              <w:jc w:val="both"/>
              <w:rPr>
                <w:rFonts w:ascii="Times New Roman" w:hAnsi="Times New Roman" w:cs="Times New Roman"/>
                <w:sz w:val="24"/>
                <w:szCs w:val="24"/>
              </w:rPr>
            </w:pPr>
          </w:p>
        </w:tc>
        <w:tc>
          <w:tcPr>
            <w:tcW w:w="2450" w:type="dxa"/>
            <w:vMerge/>
          </w:tcPr>
          <w:p w14:paraId="0809CD7F" w14:textId="77777777" w:rsidR="006D29EA" w:rsidRPr="007D7981" w:rsidRDefault="006D29EA" w:rsidP="006D29EA">
            <w:pPr>
              <w:jc w:val="both"/>
              <w:rPr>
                <w:rFonts w:ascii="Times New Roman" w:hAnsi="Times New Roman" w:cs="Times New Roman"/>
                <w:sz w:val="24"/>
                <w:szCs w:val="24"/>
              </w:rPr>
            </w:pPr>
          </w:p>
        </w:tc>
        <w:tc>
          <w:tcPr>
            <w:tcW w:w="1101" w:type="dxa"/>
          </w:tcPr>
          <w:p w14:paraId="7B1D3150"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 xml:space="preserve">Former smoker </w:t>
            </w:r>
          </w:p>
        </w:tc>
        <w:tc>
          <w:tcPr>
            <w:tcW w:w="2776" w:type="dxa"/>
            <w:gridSpan w:val="2"/>
          </w:tcPr>
          <w:p w14:paraId="29F9C266" w14:textId="3DF587FC"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color w:val="000000"/>
                <w:sz w:val="24"/>
                <w:szCs w:val="24"/>
                <w:shd w:val="clear" w:color="auto" w:fill="FFFFFF"/>
              </w:rPr>
              <w:t>RR= 1.38 (95% CI 1.20–1.60)</w:t>
            </w:r>
          </w:p>
        </w:tc>
      </w:tr>
      <w:tr w:rsidR="006D29EA" w:rsidRPr="007D7981" w14:paraId="20D8E2FA" w14:textId="77777777" w:rsidTr="007D7981">
        <w:tblPrEx>
          <w:tblLook w:val="0000" w:firstRow="0" w:lastRow="0" w:firstColumn="0" w:lastColumn="0" w:noHBand="0" w:noVBand="0"/>
        </w:tblPrEx>
        <w:trPr>
          <w:trHeight w:val="255"/>
        </w:trPr>
        <w:tc>
          <w:tcPr>
            <w:tcW w:w="1168" w:type="dxa"/>
            <w:vMerge w:val="restart"/>
          </w:tcPr>
          <w:p w14:paraId="3728E17D" w14:textId="373DD971"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Coronary artery disease</w:t>
            </w:r>
          </w:p>
        </w:tc>
        <w:tc>
          <w:tcPr>
            <w:tcW w:w="1521" w:type="dxa"/>
            <w:vMerge w:val="restart"/>
          </w:tcPr>
          <w:p w14:paraId="365F3D92" w14:textId="06990CAC"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Aune et al., 2018</w:t>
            </w:r>
          </w:p>
        </w:tc>
        <w:tc>
          <w:tcPr>
            <w:tcW w:w="2450" w:type="dxa"/>
            <w:vMerge w:val="restart"/>
          </w:tcPr>
          <w:p w14:paraId="7EC9D69D" w14:textId="4B8D2E0B"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1</w:t>
            </w:r>
            <w:r w:rsidR="00852A59" w:rsidRPr="007D7981">
              <w:rPr>
                <w:rFonts w:ascii="Times New Roman" w:hAnsi="Times New Roman" w:cs="Times New Roman"/>
                <w:sz w:val="24"/>
                <w:szCs w:val="24"/>
              </w:rPr>
              <w:t>2</w:t>
            </w:r>
            <w:r w:rsidRPr="007D7981">
              <w:rPr>
                <w:rFonts w:ascii="Times New Roman" w:hAnsi="Times New Roman" w:cs="Times New Roman"/>
                <w:sz w:val="24"/>
                <w:szCs w:val="24"/>
              </w:rPr>
              <w:t xml:space="preserve"> studies</w:t>
            </w:r>
          </w:p>
        </w:tc>
        <w:tc>
          <w:tcPr>
            <w:tcW w:w="1101" w:type="dxa"/>
          </w:tcPr>
          <w:p w14:paraId="203B374E" w14:textId="1D28EB5A"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 xml:space="preserve">One cigarrete </w:t>
            </w:r>
          </w:p>
        </w:tc>
        <w:tc>
          <w:tcPr>
            <w:tcW w:w="2776" w:type="dxa"/>
            <w:gridSpan w:val="2"/>
          </w:tcPr>
          <w:p w14:paraId="1AC55EF7" w14:textId="3DA0563D"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 xml:space="preserve">RR= </w:t>
            </w:r>
            <w:r w:rsidR="00852A59" w:rsidRPr="007D7981">
              <w:rPr>
                <w:rFonts w:ascii="Times New Roman" w:hAnsi="Times New Roman" w:cs="Times New Roman"/>
                <w:color w:val="000000"/>
                <w:sz w:val="24"/>
                <w:szCs w:val="24"/>
                <w:shd w:val="clear" w:color="auto" w:fill="FFFFFF"/>
              </w:rPr>
              <w:t>1.48 (95% CI 1.30- 1.69</w:t>
            </w:r>
          </w:p>
        </w:tc>
      </w:tr>
      <w:tr w:rsidR="00852A59" w:rsidRPr="007D7981" w14:paraId="4B083370" w14:textId="77777777" w:rsidTr="007D7981">
        <w:tblPrEx>
          <w:tblLook w:val="0000" w:firstRow="0" w:lastRow="0" w:firstColumn="0" w:lastColumn="0" w:noHBand="0" w:noVBand="0"/>
        </w:tblPrEx>
        <w:trPr>
          <w:trHeight w:val="255"/>
        </w:trPr>
        <w:tc>
          <w:tcPr>
            <w:tcW w:w="1168" w:type="dxa"/>
            <w:vMerge/>
          </w:tcPr>
          <w:p w14:paraId="563019B3" w14:textId="77777777" w:rsidR="00852A59" w:rsidRPr="007D7981" w:rsidRDefault="00852A59" w:rsidP="006D29EA">
            <w:pPr>
              <w:jc w:val="both"/>
              <w:rPr>
                <w:rFonts w:ascii="Times New Roman" w:hAnsi="Times New Roman" w:cs="Times New Roman"/>
                <w:sz w:val="24"/>
                <w:szCs w:val="24"/>
              </w:rPr>
            </w:pPr>
          </w:p>
        </w:tc>
        <w:tc>
          <w:tcPr>
            <w:tcW w:w="1521" w:type="dxa"/>
            <w:vMerge/>
          </w:tcPr>
          <w:p w14:paraId="0E56C22C" w14:textId="77777777" w:rsidR="00852A59" w:rsidRPr="007D7981" w:rsidRDefault="00852A59" w:rsidP="006D29EA">
            <w:pPr>
              <w:jc w:val="both"/>
              <w:rPr>
                <w:rFonts w:ascii="Times New Roman" w:hAnsi="Times New Roman" w:cs="Times New Roman"/>
                <w:sz w:val="24"/>
                <w:szCs w:val="24"/>
              </w:rPr>
            </w:pPr>
          </w:p>
        </w:tc>
        <w:tc>
          <w:tcPr>
            <w:tcW w:w="2450" w:type="dxa"/>
            <w:vMerge/>
          </w:tcPr>
          <w:p w14:paraId="3163BE45" w14:textId="77777777" w:rsidR="00852A59" w:rsidRPr="007D7981" w:rsidRDefault="00852A59" w:rsidP="006D29EA">
            <w:pPr>
              <w:jc w:val="both"/>
              <w:rPr>
                <w:rFonts w:ascii="Times New Roman" w:hAnsi="Times New Roman" w:cs="Times New Roman"/>
                <w:sz w:val="24"/>
                <w:szCs w:val="24"/>
              </w:rPr>
            </w:pPr>
          </w:p>
        </w:tc>
        <w:tc>
          <w:tcPr>
            <w:tcW w:w="1101" w:type="dxa"/>
          </w:tcPr>
          <w:p w14:paraId="5A871DF4" w14:textId="5CAD99BC" w:rsidR="00852A59"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Five cigarretes</w:t>
            </w:r>
          </w:p>
        </w:tc>
        <w:tc>
          <w:tcPr>
            <w:tcW w:w="2776" w:type="dxa"/>
            <w:gridSpan w:val="2"/>
          </w:tcPr>
          <w:p w14:paraId="0C94FF06" w14:textId="57650CE8" w:rsidR="00852A59"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 xml:space="preserve">RR= </w:t>
            </w:r>
            <w:r w:rsidRPr="007D7981">
              <w:rPr>
                <w:rFonts w:ascii="Times New Roman" w:hAnsi="Times New Roman" w:cs="Times New Roman"/>
                <w:color w:val="000000"/>
                <w:sz w:val="24"/>
                <w:szCs w:val="24"/>
                <w:shd w:val="clear" w:color="auto" w:fill="FFFFFF"/>
              </w:rPr>
              <w:t>1.58 (95% CI 1.39- 1.80)</w:t>
            </w:r>
          </w:p>
        </w:tc>
      </w:tr>
      <w:tr w:rsidR="006D29EA" w:rsidRPr="007D7981" w14:paraId="30C8E835" w14:textId="77777777" w:rsidTr="007D7981">
        <w:tblPrEx>
          <w:tblLook w:val="0000" w:firstRow="0" w:lastRow="0" w:firstColumn="0" w:lastColumn="0" w:noHBand="0" w:noVBand="0"/>
        </w:tblPrEx>
        <w:trPr>
          <w:trHeight w:val="270"/>
        </w:trPr>
        <w:tc>
          <w:tcPr>
            <w:tcW w:w="1168" w:type="dxa"/>
            <w:vMerge/>
          </w:tcPr>
          <w:p w14:paraId="3B8861F8" w14:textId="77777777" w:rsidR="006D29EA" w:rsidRPr="007D7981" w:rsidRDefault="006D29EA" w:rsidP="006D29EA">
            <w:pPr>
              <w:jc w:val="both"/>
              <w:rPr>
                <w:rFonts w:ascii="Times New Roman" w:hAnsi="Times New Roman" w:cs="Times New Roman"/>
                <w:sz w:val="24"/>
                <w:szCs w:val="24"/>
              </w:rPr>
            </w:pPr>
          </w:p>
        </w:tc>
        <w:tc>
          <w:tcPr>
            <w:tcW w:w="1521" w:type="dxa"/>
            <w:vMerge/>
          </w:tcPr>
          <w:p w14:paraId="7A233611" w14:textId="77777777" w:rsidR="006D29EA" w:rsidRPr="007D7981" w:rsidRDefault="006D29EA" w:rsidP="006D29EA">
            <w:pPr>
              <w:jc w:val="both"/>
              <w:rPr>
                <w:rFonts w:ascii="Times New Roman" w:hAnsi="Times New Roman" w:cs="Times New Roman"/>
                <w:sz w:val="24"/>
                <w:szCs w:val="24"/>
              </w:rPr>
            </w:pPr>
          </w:p>
        </w:tc>
        <w:tc>
          <w:tcPr>
            <w:tcW w:w="2450" w:type="dxa"/>
            <w:vMerge/>
          </w:tcPr>
          <w:p w14:paraId="33DE1540" w14:textId="77777777" w:rsidR="006D29EA" w:rsidRPr="007D7981" w:rsidRDefault="006D29EA" w:rsidP="006D29EA">
            <w:pPr>
              <w:jc w:val="both"/>
              <w:rPr>
                <w:rFonts w:ascii="Times New Roman" w:hAnsi="Times New Roman" w:cs="Times New Roman"/>
                <w:sz w:val="24"/>
                <w:szCs w:val="24"/>
              </w:rPr>
            </w:pPr>
          </w:p>
        </w:tc>
        <w:tc>
          <w:tcPr>
            <w:tcW w:w="1101" w:type="dxa"/>
          </w:tcPr>
          <w:p w14:paraId="69E20174" w14:textId="567D277A"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20 cigarretes</w:t>
            </w:r>
            <w:r w:rsidR="006D29EA" w:rsidRPr="007D7981">
              <w:rPr>
                <w:rFonts w:ascii="Times New Roman" w:hAnsi="Times New Roman" w:cs="Times New Roman"/>
                <w:sz w:val="24"/>
                <w:szCs w:val="24"/>
              </w:rPr>
              <w:t xml:space="preserve"> </w:t>
            </w:r>
          </w:p>
        </w:tc>
        <w:tc>
          <w:tcPr>
            <w:tcW w:w="2776" w:type="dxa"/>
            <w:gridSpan w:val="2"/>
          </w:tcPr>
          <w:p w14:paraId="1E5EAABD" w14:textId="473E804F"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 xml:space="preserve">RR= </w:t>
            </w:r>
            <w:r w:rsidR="00852A59" w:rsidRPr="007D7981">
              <w:rPr>
                <w:rFonts w:ascii="Times New Roman" w:hAnsi="Times New Roman" w:cs="Times New Roman"/>
                <w:color w:val="000000"/>
                <w:sz w:val="24"/>
                <w:szCs w:val="24"/>
                <w:shd w:val="clear" w:color="auto" w:fill="FFFFFF"/>
              </w:rPr>
              <w:t>2.04 (95% CI 1.86, 2.24)</w:t>
            </w:r>
          </w:p>
        </w:tc>
      </w:tr>
      <w:tr w:rsidR="006D29EA" w:rsidRPr="007D7981" w14:paraId="36EB45C6" w14:textId="77777777" w:rsidTr="007D7981">
        <w:tblPrEx>
          <w:tblLook w:val="0000" w:firstRow="0" w:lastRow="0" w:firstColumn="0" w:lastColumn="0" w:noHBand="0" w:noVBand="0"/>
        </w:tblPrEx>
        <w:trPr>
          <w:trHeight w:val="255"/>
        </w:trPr>
        <w:tc>
          <w:tcPr>
            <w:tcW w:w="1168" w:type="dxa"/>
            <w:vMerge w:val="restart"/>
          </w:tcPr>
          <w:p w14:paraId="26810109" w14:textId="7ADC1BFD"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Stroke</w:t>
            </w:r>
          </w:p>
        </w:tc>
        <w:tc>
          <w:tcPr>
            <w:tcW w:w="1521" w:type="dxa"/>
            <w:vMerge w:val="restart"/>
          </w:tcPr>
          <w:p w14:paraId="3E11908F" w14:textId="4C6D5E5C"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Pan et al., 2019</w:t>
            </w:r>
          </w:p>
        </w:tc>
        <w:tc>
          <w:tcPr>
            <w:tcW w:w="2450" w:type="dxa"/>
            <w:vMerge w:val="restart"/>
          </w:tcPr>
          <w:p w14:paraId="42E39311" w14:textId="68C14C90"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14</w:t>
            </w:r>
            <w:r w:rsidR="006D29EA" w:rsidRPr="007D7981">
              <w:rPr>
                <w:rFonts w:ascii="Times New Roman" w:hAnsi="Times New Roman" w:cs="Times New Roman"/>
                <w:sz w:val="24"/>
                <w:szCs w:val="24"/>
              </w:rPr>
              <w:t xml:space="preserve"> studies (</w:t>
            </w:r>
            <w:r w:rsidRPr="007D7981">
              <w:rPr>
                <w:rFonts w:ascii="Times New Roman" w:hAnsi="Times New Roman" w:cs="Times New Roman"/>
                <w:sz w:val="24"/>
                <w:szCs w:val="24"/>
              </w:rPr>
              <w:t xml:space="preserve">303,134 </w:t>
            </w:r>
            <w:r w:rsidR="006D29EA" w:rsidRPr="007D7981">
              <w:rPr>
                <w:rFonts w:ascii="Times New Roman" w:hAnsi="Times New Roman" w:cs="Times New Roman"/>
                <w:sz w:val="24"/>
                <w:szCs w:val="24"/>
              </w:rPr>
              <w:t>participants)</w:t>
            </w:r>
          </w:p>
        </w:tc>
        <w:tc>
          <w:tcPr>
            <w:tcW w:w="1101" w:type="dxa"/>
          </w:tcPr>
          <w:p w14:paraId="2F8DDA34"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76" w:type="dxa"/>
            <w:gridSpan w:val="2"/>
          </w:tcPr>
          <w:p w14:paraId="6FF8CD5C" w14:textId="5E6BF3A2"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OR</w:t>
            </w:r>
            <w:r w:rsidR="006D29EA" w:rsidRPr="007D7981">
              <w:rPr>
                <w:rFonts w:ascii="Times New Roman" w:hAnsi="Times New Roman" w:cs="Times New Roman"/>
                <w:sz w:val="24"/>
                <w:szCs w:val="24"/>
              </w:rPr>
              <w:t xml:space="preserve">= </w:t>
            </w:r>
            <w:r w:rsidRPr="007D7981">
              <w:rPr>
                <w:rFonts w:ascii="Times New Roman" w:hAnsi="Times New Roman" w:cs="Times New Roman"/>
                <w:sz w:val="24"/>
                <w:szCs w:val="24"/>
              </w:rPr>
              <w:t>1.92 (95% CI 1.49-2.48)</w:t>
            </w:r>
          </w:p>
        </w:tc>
      </w:tr>
      <w:tr w:rsidR="006D29EA" w:rsidRPr="007D7981" w14:paraId="45DC5344" w14:textId="77777777" w:rsidTr="007D7981">
        <w:tblPrEx>
          <w:tblLook w:val="0000" w:firstRow="0" w:lastRow="0" w:firstColumn="0" w:lastColumn="0" w:noHBand="0" w:noVBand="0"/>
        </w:tblPrEx>
        <w:trPr>
          <w:trHeight w:val="270"/>
        </w:trPr>
        <w:tc>
          <w:tcPr>
            <w:tcW w:w="1168" w:type="dxa"/>
            <w:vMerge/>
          </w:tcPr>
          <w:p w14:paraId="7AE08070" w14:textId="77777777" w:rsidR="006D29EA" w:rsidRPr="007D7981" w:rsidRDefault="006D29EA" w:rsidP="006D29EA">
            <w:pPr>
              <w:jc w:val="both"/>
              <w:rPr>
                <w:rFonts w:ascii="Times New Roman" w:hAnsi="Times New Roman" w:cs="Times New Roman"/>
                <w:sz w:val="24"/>
                <w:szCs w:val="24"/>
              </w:rPr>
            </w:pPr>
          </w:p>
        </w:tc>
        <w:tc>
          <w:tcPr>
            <w:tcW w:w="1521" w:type="dxa"/>
            <w:vMerge/>
          </w:tcPr>
          <w:p w14:paraId="11AC3BC8" w14:textId="77777777" w:rsidR="006D29EA" w:rsidRPr="007D7981" w:rsidRDefault="006D29EA" w:rsidP="006D29EA">
            <w:pPr>
              <w:jc w:val="both"/>
              <w:rPr>
                <w:rFonts w:ascii="Times New Roman" w:hAnsi="Times New Roman" w:cs="Times New Roman"/>
                <w:sz w:val="24"/>
                <w:szCs w:val="24"/>
              </w:rPr>
            </w:pPr>
          </w:p>
        </w:tc>
        <w:tc>
          <w:tcPr>
            <w:tcW w:w="2450" w:type="dxa"/>
            <w:vMerge/>
          </w:tcPr>
          <w:p w14:paraId="177E1B23" w14:textId="77777777" w:rsidR="006D29EA" w:rsidRPr="007D7981" w:rsidRDefault="006D29EA" w:rsidP="006D29EA">
            <w:pPr>
              <w:jc w:val="both"/>
              <w:rPr>
                <w:rFonts w:ascii="Times New Roman" w:hAnsi="Times New Roman" w:cs="Times New Roman"/>
                <w:sz w:val="24"/>
                <w:szCs w:val="24"/>
              </w:rPr>
            </w:pPr>
          </w:p>
        </w:tc>
        <w:tc>
          <w:tcPr>
            <w:tcW w:w="1101" w:type="dxa"/>
          </w:tcPr>
          <w:p w14:paraId="5BE3B906"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 xml:space="preserve">Former smoker </w:t>
            </w:r>
          </w:p>
        </w:tc>
        <w:tc>
          <w:tcPr>
            <w:tcW w:w="2776" w:type="dxa"/>
            <w:gridSpan w:val="2"/>
          </w:tcPr>
          <w:p w14:paraId="4A3DF492" w14:textId="58591925"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OR</w:t>
            </w:r>
            <w:r w:rsidR="006D29EA" w:rsidRPr="007D7981">
              <w:rPr>
                <w:rFonts w:ascii="Times New Roman" w:hAnsi="Times New Roman" w:cs="Times New Roman"/>
                <w:sz w:val="24"/>
                <w:szCs w:val="24"/>
              </w:rPr>
              <w:t xml:space="preserve">= </w:t>
            </w:r>
            <w:r w:rsidRPr="007D7981">
              <w:rPr>
                <w:rFonts w:ascii="Times New Roman" w:hAnsi="Times New Roman" w:cs="Times New Roman"/>
                <w:sz w:val="24"/>
                <w:szCs w:val="24"/>
              </w:rPr>
              <w:t>1.30 (95% CI: 0.93-1.81)</w:t>
            </w:r>
          </w:p>
        </w:tc>
      </w:tr>
      <w:tr w:rsidR="006D29EA" w:rsidRPr="007D7981" w14:paraId="1CC3C448" w14:textId="77777777" w:rsidTr="007D7981">
        <w:tblPrEx>
          <w:tblLook w:val="0000" w:firstRow="0" w:lastRow="0" w:firstColumn="0" w:lastColumn="0" w:noHBand="0" w:noVBand="0"/>
        </w:tblPrEx>
        <w:trPr>
          <w:trHeight w:val="90"/>
        </w:trPr>
        <w:tc>
          <w:tcPr>
            <w:tcW w:w="1168" w:type="dxa"/>
          </w:tcPr>
          <w:p w14:paraId="30732375" w14:textId="54578EB9"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Stroke</w:t>
            </w:r>
          </w:p>
        </w:tc>
        <w:tc>
          <w:tcPr>
            <w:tcW w:w="1521" w:type="dxa"/>
          </w:tcPr>
          <w:p w14:paraId="4C240B7B" w14:textId="26A63AE7"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Shinton and Beevers, 1989</w:t>
            </w:r>
          </w:p>
        </w:tc>
        <w:tc>
          <w:tcPr>
            <w:tcW w:w="2450" w:type="dxa"/>
          </w:tcPr>
          <w:p w14:paraId="1DD94E91" w14:textId="17FAAF65" w:rsidR="006D29EA" w:rsidRPr="007D7981" w:rsidRDefault="00852A59" w:rsidP="006D29EA">
            <w:pPr>
              <w:jc w:val="both"/>
              <w:rPr>
                <w:rFonts w:ascii="Times New Roman" w:hAnsi="Times New Roman" w:cs="Times New Roman"/>
                <w:sz w:val="24"/>
                <w:szCs w:val="24"/>
              </w:rPr>
            </w:pPr>
            <w:r w:rsidRPr="007D7981">
              <w:rPr>
                <w:rFonts w:ascii="Times New Roman" w:hAnsi="Times New Roman" w:cs="Times New Roman"/>
                <w:sz w:val="24"/>
                <w:szCs w:val="24"/>
              </w:rPr>
              <w:t>32</w:t>
            </w:r>
            <w:r w:rsidR="006D29EA" w:rsidRPr="007D7981">
              <w:rPr>
                <w:rFonts w:ascii="Times New Roman" w:hAnsi="Times New Roman" w:cs="Times New Roman"/>
                <w:sz w:val="24"/>
                <w:szCs w:val="24"/>
              </w:rPr>
              <w:t xml:space="preserve"> studies</w:t>
            </w:r>
          </w:p>
        </w:tc>
        <w:tc>
          <w:tcPr>
            <w:tcW w:w="1101" w:type="dxa"/>
          </w:tcPr>
          <w:p w14:paraId="34A7E532"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76" w:type="dxa"/>
            <w:gridSpan w:val="2"/>
          </w:tcPr>
          <w:p w14:paraId="281084CF" w14:textId="13C25FE3" w:rsidR="006D29EA" w:rsidRPr="007D7981" w:rsidRDefault="007D7981" w:rsidP="006D29EA">
            <w:pPr>
              <w:jc w:val="both"/>
              <w:rPr>
                <w:rFonts w:ascii="Times New Roman" w:hAnsi="Times New Roman" w:cs="Times New Roman"/>
                <w:sz w:val="24"/>
                <w:szCs w:val="24"/>
              </w:rPr>
            </w:pPr>
            <w:r w:rsidRPr="007D7981">
              <w:rPr>
                <w:rFonts w:ascii="Times New Roman" w:hAnsi="Times New Roman" w:cs="Times New Roman"/>
                <w:color w:val="000000"/>
                <w:sz w:val="24"/>
                <w:szCs w:val="24"/>
                <w:shd w:val="clear" w:color="auto" w:fill="FFFFFF"/>
              </w:rPr>
              <w:t>RR= 1.5 (95% CI 1.4- 1.6)</w:t>
            </w:r>
          </w:p>
        </w:tc>
      </w:tr>
      <w:tr w:rsidR="006D29EA" w:rsidRPr="007D7981" w14:paraId="75704A1D" w14:textId="77777777" w:rsidTr="007D7981">
        <w:tblPrEx>
          <w:tblLook w:val="0000" w:firstRow="0" w:lastRow="0" w:firstColumn="0" w:lastColumn="0" w:noHBand="0" w:noVBand="0"/>
        </w:tblPrEx>
        <w:trPr>
          <w:trHeight w:val="75"/>
        </w:trPr>
        <w:tc>
          <w:tcPr>
            <w:tcW w:w="1168" w:type="dxa"/>
            <w:vMerge w:val="restart"/>
          </w:tcPr>
          <w:p w14:paraId="00108161" w14:textId="52E14AA0" w:rsidR="006D29EA" w:rsidRPr="007D7981" w:rsidRDefault="007D7981" w:rsidP="006D29EA">
            <w:pPr>
              <w:jc w:val="both"/>
              <w:rPr>
                <w:rFonts w:ascii="Times New Roman" w:hAnsi="Times New Roman" w:cs="Times New Roman"/>
                <w:sz w:val="24"/>
                <w:szCs w:val="24"/>
              </w:rPr>
            </w:pPr>
            <w:r w:rsidRPr="007D7981">
              <w:rPr>
                <w:rFonts w:ascii="Times New Roman" w:hAnsi="Times New Roman" w:cs="Times New Roman"/>
                <w:sz w:val="24"/>
                <w:szCs w:val="24"/>
              </w:rPr>
              <w:t>Peripheral artery disease</w:t>
            </w:r>
          </w:p>
        </w:tc>
        <w:tc>
          <w:tcPr>
            <w:tcW w:w="1521" w:type="dxa"/>
            <w:vMerge w:val="restart"/>
          </w:tcPr>
          <w:p w14:paraId="1440179E" w14:textId="308A427E" w:rsidR="006D29EA" w:rsidRPr="007D7981" w:rsidRDefault="007D7981" w:rsidP="006D29EA">
            <w:pPr>
              <w:jc w:val="both"/>
              <w:rPr>
                <w:rFonts w:ascii="Times New Roman" w:hAnsi="Times New Roman" w:cs="Times New Roman"/>
                <w:sz w:val="24"/>
                <w:szCs w:val="24"/>
              </w:rPr>
            </w:pPr>
            <w:r w:rsidRPr="007D7981">
              <w:rPr>
                <w:rFonts w:ascii="Times New Roman" w:hAnsi="Times New Roman" w:cs="Times New Roman"/>
                <w:sz w:val="24"/>
                <w:szCs w:val="24"/>
              </w:rPr>
              <w:t>Lu</w:t>
            </w:r>
            <w:r w:rsidR="006D29EA" w:rsidRPr="007D7981">
              <w:rPr>
                <w:rFonts w:ascii="Times New Roman" w:hAnsi="Times New Roman" w:cs="Times New Roman"/>
                <w:sz w:val="24"/>
                <w:szCs w:val="24"/>
              </w:rPr>
              <w:t xml:space="preserve"> et al., 2</w:t>
            </w:r>
            <w:r w:rsidRPr="007D7981">
              <w:rPr>
                <w:rFonts w:ascii="Times New Roman" w:hAnsi="Times New Roman" w:cs="Times New Roman"/>
                <w:sz w:val="24"/>
                <w:szCs w:val="24"/>
              </w:rPr>
              <w:t>014</w:t>
            </w:r>
          </w:p>
        </w:tc>
        <w:tc>
          <w:tcPr>
            <w:tcW w:w="2450" w:type="dxa"/>
            <w:vMerge w:val="restart"/>
          </w:tcPr>
          <w:p w14:paraId="79D6D6C6" w14:textId="137221A7" w:rsidR="006D29EA" w:rsidRPr="007D7981" w:rsidRDefault="007D7981" w:rsidP="006D29EA">
            <w:pPr>
              <w:jc w:val="both"/>
              <w:rPr>
                <w:rFonts w:ascii="Times New Roman" w:hAnsi="Times New Roman" w:cs="Times New Roman"/>
                <w:sz w:val="24"/>
                <w:szCs w:val="24"/>
              </w:rPr>
            </w:pPr>
            <w:r w:rsidRPr="007D7981">
              <w:rPr>
                <w:rFonts w:ascii="Times New Roman" w:hAnsi="Times New Roman" w:cs="Times New Roman"/>
                <w:sz w:val="24"/>
                <w:szCs w:val="24"/>
              </w:rPr>
              <w:t xml:space="preserve">55 </w:t>
            </w:r>
            <w:r w:rsidR="006D29EA" w:rsidRPr="007D7981">
              <w:rPr>
                <w:rFonts w:ascii="Times New Roman" w:hAnsi="Times New Roman" w:cs="Times New Roman"/>
                <w:sz w:val="24"/>
                <w:szCs w:val="24"/>
              </w:rPr>
              <w:t>studies</w:t>
            </w:r>
          </w:p>
        </w:tc>
        <w:tc>
          <w:tcPr>
            <w:tcW w:w="1101" w:type="dxa"/>
          </w:tcPr>
          <w:p w14:paraId="41FA5146"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Current smoker</w:t>
            </w:r>
          </w:p>
        </w:tc>
        <w:tc>
          <w:tcPr>
            <w:tcW w:w="2776" w:type="dxa"/>
            <w:gridSpan w:val="2"/>
          </w:tcPr>
          <w:p w14:paraId="3B0CCF0F" w14:textId="21A71F29" w:rsidR="006D29EA" w:rsidRPr="007D7981" w:rsidRDefault="007D7981" w:rsidP="006D29EA">
            <w:pPr>
              <w:jc w:val="both"/>
              <w:rPr>
                <w:rFonts w:ascii="Times New Roman" w:hAnsi="Times New Roman" w:cs="Times New Roman"/>
                <w:sz w:val="24"/>
                <w:szCs w:val="24"/>
              </w:rPr>
            </w:pPr>
            <w:r w:rsidRPr="007D7981">
              <w:rPr>
                <w:rFonts w:ascii="Times New Roman" w:hAnsi="Times New Roman" w:cs="Times New Roman"/>
                <w:sz w:val="24"/>
                <w:szCs w:val="24"/>
              </w:rPr>
              <w:t>OR= 2.71 (95% CI 2.28- 3.21)</w:t>
            </w:r>
          </w:p>
        </w:tc>
      </w:tr>
      <w:tr w:rsidR="006D29EA" w:rsidRPr="007D7981" w14:paraId="14CBFEA4" w14:textId="77777777" w:rsidTr="007D7981">
        <w:tblPrEx>
          <w:tblLook w:val="0000" w:firstRow="0" w:lastRow="0" w:firstColumn="0" w:lastColumn="0" w:noHBand="0" w:noVBand="0"/>
        </w:tblPrEx>
        <w:trPr>
          <w:trHeight w:val="180"/>
        </w:trPr>
        <w:tc>
          <w:tcPr>
            <w:tcW w:w="1168" w:type="dxa"/>
            <w:vMerge/>
          </w:tcPr>
          <w:p w14:paraId="6FD8284D" w14:textId="77777777" w:rsidR="006D29EA" w:rsidRPr="007D7981" w:rsidRDefault="006D29EA" w:rsidP="006D29EA">
            <w:pPr>
              <w:jc w:val="both"/>
              <w:rPr>
                <w:rFonts w:ascii="Times New Roman" w:hAnsi="Times New Roman" w:cs="Times New Roman"/>
                <w:sz w:val="24"/>
                <w:szCs w:val="24"/>
              </w:rPr>
            </w:pPr>
          </w:p>
        </w:tc>
        <w:tc>
          <w:tcPr>
            <w:tcW w:w="1521" w:type="dxa"/>
            <w:vMerge/>
          </w:tcPr>
          <w:p w14:paraId="528F1638" w14:textId="77777777" w:rsidR="006D29EA" w:rsidRPr="007D7981" w:rsidRDefault="006D29EA" w:rsidP="006D29EA">
            <w:pPr>
              <w:jc w:val="both"/>
              <w:rPr>
                <w:rFonts w:ascii="Times New Roman" w:hAnsi="Times New Roman" w:cs="Times New Roman"/>
                <w:sz w:val="24"/>
                <w:szCs w:val="24"/>
              </w:rPr>
            </w:pPr>
          </w:p>
        </w:tc>
        <w:tc>
          <w:tcPr>
            <w:tcW w:w="2450" w:type="dxa"/>
            <w:vMerge/>
          </w:tcPr>
          <w:p w14:paraId="5654531C" w14:textId="77777777" w:rsidR="006D29EA" w:rsidRPr="007D7981" w:rsidRDefault="006D29EA" w:rsidP="006D29EA">
            <w:pPr>
              <w:jc w:val="both"/>
              <w:rPr>
                <w:rFonts w:ascii="Times New Roman" w:hAnsi="Times New Roman" w:cs="Times New Roman"/>
                <w:sz w:val="24"/>
                <w:szCs w:val="24"/>
              </w:rPr>
            </w:pPr>
          </w:p>
        </w:tc>
        <w:tc>
          <w:tcPr>
            <w:tcW w:w="1101" w:type="dxa"/>
          </w:tcPr>
          <w:p w14:paraId="7C05412B" w14:textId="77777777" w:rsidR="006D29EA" w:rsidRPr="007D7981" w:rsidRDefault="006D29EA" w:rsidP="006D29EA">
            <w:pPr>
              <w:jc w:val="both"/>
              <w:rPr>
                <w:rFonts w:ascii="Times New Roman" w:hAnsi="Times New Roman" w:cs="Times New Roman"/>
                <w:sz w:val="24"/>
                <w:szCs w:val="24"/>
              </w:rPr>
            </w:pPr>
            <w:r w:rsidRPr="007D7981">
              <w:rPr>
                <w:rFonts w:ascii="Times New Roman" w:hAnsi="Times New Roman" w:cs="Times New Roman"/>
                <w:sz w:val="24"/>
                <w:szCs w:val="24"/>
              </w:rPr>
              <w:t xml:space="preserve">Former smoker </w:t>
            </w:r>
          </w:p>
        </w:tc>
        <w:tc>
          <w:tcPr>
            <w:tcW w:w="2776" w:type="dxa"/>
            <w:gridSpan w:val="2"/>
          </w:tcPr>
          <w:p w14:paraId="70A21351" w14:textId="20972196" w:rsidR="006D29EA" w:rsidRPr="007D7981" w:rsidRDefault="007D7981" w:rsidP="006D29EA">
            <w:pPr>
              <w:jc w:val="both"/>
              <w:rPr>
                <w:rFonts w:ascii="Times New Roman" w:hAnsi="Times New Roman" w:cs="Times New Roman"/>
                <w:sz w:val="24"/>
                <w:szCs w:val="24"/>
              </w:rPr>
            </w:pPr>
            <w:r w:rsidRPr="007D7981">
              <w:rPr>
                <w:rFonts w:ascii="Times New Roman" w:hAnsi="Times New Roman" w:cs="Times New Roman"/>
                <w:sz w:val="24"/>
                <w:szCs w:val="24"/>
              </w:rPr>
              <w:t>OR= 1.67 (95% CI 1.54- 1.81)</w:t>
            </w:r>
          </w:p>
        </w:tc>
      </w:tr>
    </w:tbl>
    <w:p w14:paraId="74F58A87" w14:textId="7304DA1D" w:rsidR="006D29EA" w:rsidRDefault="006D29EA" w:rsidP="006D29EA">
      <w:pPr>
        <w:jc w:val="both"/>
        <w:rPr>
          <w:rFonts w:ascii="Times New Roman" w:hAnsi="Times New Roman" w:cs="Times New Roman"/>
          <w:b/>
          <w:bCs/>
          <w:sz w:val="24"/>
          <w:szCs w:val="24"/>
        </w:rPr>
      </w:pPr>
    </w:p>
    <w:p w14:paraId="1C3079F5" w14:textId="3D35CD05" w:rsidR="00BC2A58" w:rsidRDefault="00BC2A58" w:rsidP="00BC2A58">
      <w:pPr>
        <w:pStyle w:val="ListParagraph"/>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lastRenderedPageBreak/>
        <w:t>Define the following epidemiological terms.</w:t>
      </w:r>
    </w:p>
    <w:p w14:paraId="5406FB94" w14:textId="77777777" w:rsidR="00BC2A58" w:rsidRDefault="00BC2A58" w:rsidP="00BC2A58">
      <w:pPr>
        <w:pStyle w:val="ListParagraph"/>
        <w:jc w:val="both"/>
        <w:rPr>
          <w:rFonts w:ascii="Times New Roman" w:hAnsi="Times New Roman" w:cs="Times New Roman"/>
          <w:b/>
          <w:bCs/>
          <w:sz w:val="24"/>
          <w:szCs w:val="24"/>
        </w:rPr>
      </w:pPr>
    </w:p>
    <w:p w14:paraId="4ACA0BD0" w14:textId="5F9D31A2" w:rsidR="00BC2A58" w:rsidRPr="00BC2A58" w:rsidRDefault="00BC2A58" w:rsidP="00BC2A58">
      <w:pPr>
        <w:pStyle w:val="ListParagraph"/>
        <w:numPr>
          <w:ilvl w:val="0"/>
          <w:numId w:val="11"/>
        </w:numPr>
        <w:jc w:val="both"/>
        <w:rPr>
          <w:rFonts w:ascii="Times New Roman" w:hAnsi="Times New Roman" w:cs="Times New Roman"/>
          <w:b/>
          <w:bCs/>
          <w:sz w:val="24"/>
          <w:szCs w:val="24"/>
        </w:rPr>
      </w:pPr>
      <w:r>
        <w:rPr>
          <w:rFonts w:ascii="Times New Roman" w:hAnsi="Times New Roman" w:cs="Times New Roman"/>
          <w:b/>
          <w:bCs/>
          <w:sz w:val="24"/>
          <w:szCs w:val="24"/>
        </w:rPr>
        <w:t xml:space="preserve">Risk: </w:t>
      </w:r>
      <w:r>
        <w:rPr>
          <w:rFonts w:ascii="Times New Roman" w:hAnsi="Times New Roman" w:cs="Times New Roman"/>
          <w:sz w:val="24"/>
          <w:szCs w:val="24"/>
        </w:rPr>
        <w:t xml:space="preserve">It is a measure of the probability than an individual in the population as whole will experience of an outcome event. It is calculated as </w:t>
      </w:r>
      <w:r w:rsidRPr="00BC2A58">
        <w:rPr>
          <w:rFonts w:ascii="Times New Roman" w:hAnsi="Times New Roman" w:cs="Times New Roman"/>
          <w:sz w:val="24"/>
          <w:szCs w:val="24"/>
        </w:rPr>
        <w:t>the number of new cases divided by the total population-at-risk at the beginning of the follow</w:t>
      </w:r>
      <w:r>
        <w:rPr>
          <w:rFonts w:ascii="Times New Roman" w:hAnsi="Times New Roman" w:cs="Times New Roman"/>
          <w:sz w:val="24"/>
          <w:szCs w:val="24"/>
        </w:rPr>
        <w:t>-</w:t>
      </w:r>
      <w:r w:rsidRPr="00BC2A58">
        <w:rPr>
          <w:rFonts w:ascii="Times New Roman" w:hAnsi="Times New Roman" w:cs="Times New Roman"/>
          <w:sz w:val="24"/>
          <w:szCs w:val="24"/>
        </w:rPr>
        <w:t>up period.</w:t>
      </w:r>
      <w:r>
        <w:rPr>
          <w:rFonts w:ascii="Times New Roman" w:hAnsi="Times New Roman" w:cs="Times New Roman"/>
          <w:sz w:val="24"/>
          <w:szCs w:val="24"/>
        </w:rPr>
        <w:t xml:space="preserve"> </w:t>
      </w:r>
    </w:p>
    <w:p w14:paraId="2C85EA8C" w14:textId="7ED0DA28" w:rsidR="00BC2A58" w:rsidRPr="00BC2A58" w:rsidRDefault="00BC2A58" w:rsidP="00BC2A58">
      <w:pPr>
        <w:pStyle w:val="ListParagraph"/>
        <w:numPr>
          <w:ilvl w:val="0"/>
          <w:numId w:val="11"/>
        </w:numPr>
        <w:jc w:val="both"/>
        <w:rPr>
          <w:rFonts w:ascii="Times New Roman" w:hAnsi="Times New Roman" w:cs="Times New Roman"/>
          <w:b/>
          <w:bCs/>
          <w:sz w:val="24"/>
          <w:szCs w:val="24"/>
        </w:rPr>
      </w:pPr>
      <w:r>
        <w:rPr>
          <w:rFonts w:ascii="Times New Roman" w:hAnsi="Times New Roman" w:cs="Times New Roman"/>
          <w:b/>
          <w:bCs/>
          <w:sz w:val="24"/>
          <w:szCs w:val="24"/>
        </w:rPr>
        <w:t>Rate:</w:t>
      </w:r>
      <w:r>
        <w:rPr>
          <w:rFonts w:ascii="Times New Roman" w:hAnsi="Times New Roman" w:cs="Times New Roman"/>
          <w:sz w:val="24"/>
          <w:szCs w:val="24"/>
        </w:rPr>
        <w:t xml:space="preserve"> It </w:t>
      </w:r>
      <w:r w:rsidRPr="00BC2A58">
        <w:rPr>
          <w:rFonts w:ascii="Times New Roman" w:hAnsi="Times New Roman" w:cs="Times New Roman"/>
          <w:sz w:val="24"/>
          <w:szCs w:val="24"/>
        </w:rPr>
        <w:t>is the number of new cases of a health outcome divided by the total person-time-at-risk for the population. Person-time is calculated by the sum total of time all individuals remain in the study without developing the outcome of interest (the total amount of time that the study members are at risk of</w:t>
      </w:r>
      <w:r>
        <w:rPr>
          <w:rFonts w:ascii="Times New Roman" w:hAnsi="Times New Roman" w:cs="Times New Roman"/>
          <w:sz w:val="24"/>
          <w:szCs w:val="24"/>
        </w:rPr>
        <w:t xml:space="preserve"> </w:t>
      </w:r>
      <w:r w:rsidRPr="00BC2A58">
        <w:rPr>
          <w:rFonts w:ascii="Times New Roman" w:hAnsi="Times New Roman" w:cs="Times New Roman"/>
          <w:sz w:val="24"/>
          <w:szCs w:val="24"/>
        </w:rPr>
        <w:t>developing the outcome of interest).</w:t>
      </w:r>
    </w:p>
    <w:p w14:paraId="2D4E3010" w14:textId="6E76DD46" w:rsidR="00BC2A58" w:rsidRPr="00BC2A58" w:rsidRDefault="00BC2A58" w:rsidP="00BC2A58">
      <w:pPr>
        <w:pStyle w:val="ListParagraph"/>
        <w:numPr>
          <w:ilvl w:val="0"/>
          <w:numId w:val="11"/>
        </w:numPr>
        <w:jc w:val="both"/>
        <w:rPr>
          <w:rFonts w:ascii="Times New Roman" w:hAnsi="Times New Roman" w:cs="Times New Roman"/>
          <w:b/>
          <w:bCs/>
          <w:sz w:val="24"/>
          <w:szCs w:val="24"/>
        </w:rPr>
      </w:pPr>
      <w:r>
        <w:rPr>
          <w:rFonts w:ascii="Times New Roman" w:hAnsi="Times New Roman" w:cs="Times New Roman"/>
          <w:b/>
          <w:bCs/>
          <w:sz w:val="24"/>
          <w:szCs w:val="24"/>
        </w:rPr>
        <w:t>Odds:</w:t>
      </w:r>
      <w:r>
        <w:rPr>
          <w:rFonts w:ascii="Times New Roman" w:hAnsi="Times New Roman" w:cs="Times New Roman"/>
          <w:sz w:val="24"/>
          <w:szCs w:val="24"/>
        </w:rPr>
        <w:t xml:space="preserve"> </w:t>
      </w:r>
      <w:r w:rsidRPr="00BC2A58">
        <w:rPr>
          <w:rFonts w:ascii="Times New Roman" w:hAnsi="Times New Roman" w:cs="Times New Roman"/>
          <w:sz w:val="24"/>
          <w:szCs w:val="24"/>
        </w:rPr>
        <w:t>odds of an event represent the ratio of the (probability that the event will occur) / (probability that the event will not occur).</w:t>
      </w:r>
      <w:r>
        <w:rPr>
          <w:rFonts w:ascii="Times New Roman" w:hAnsi="Times New Roman" w:cs="Times New Roman"/>
          <w:sz w:val="24"/>
          <w:szCs w:val="24"/>
        </w:rPr>
        <w:t xml:space="preserve"> For example, </w:t>
      </w:r>
      <w:r w:rsidRPr="00BC2A58">
        <w:rPr>
          <w:rFonts w:ascii="Times New Roman" w:hAnsi="Times New Roman" w:cs="Times New Roman"/>
          <w:sz w:val="24"/>
          <w:szCs w:val="24"/>
        </w:rPr>
        <w:t>if the probability of the event occurring = 0.80, then the odds are 0.80 / (1-0.80) = 0.80/0.20 = 4 (i.e., 4 to 1).</w:t>
      </w:r>
    </w:p>
    <w:p w14:paraId="6113AAC2" w14:textId="0DDC011F" w:rsidR="00BC2A58" w:rsidRPr="00892A4B" w:rsidRDefault="00BC2A58" w:rsidP="00BC2A58">
      <w:pPr>
        <w:pStyle w:val="ListParagraph"/>
        <w:numPr>
          <w:ilvl w:val="0"/>
          <w:numId w:val="11"/>
        </w:numPr>
        <w:jc w:val="both"/>
        <w:rPr>
          <w:rFonts w:ascii="Times New Roman" w:hAnsi="Times New Roman" w:cs="Times New Roman"/>
          <w:b/>
          <w:bCs/>
          <w:sz w:val="24"/>
          <w:szCs w:val="24"/>
        </w:rPr>
      </w:pPr>
      <w:r>
        <w:rPr>
          <w:rFonts w:ascii="Times New Roman" w:hAnsi="Times New Roman" w:cs="Times New Roman"/>
          <w:b/>
          <w:bCs/>
          <w:sz w:val="24"/>
          <w:szCs w:val="24"/>
        </w:rPr>
        <w:t>Absolute risk:</w:t>
      </w:r>
      <w:r>
        <w:rPr>
          <w:rFonts w:ascii="Times New Roman" w:hAnsi="Times New Roman" w:cs="Times New Roman"/>
          <w:sz w:val="24"/>
          <w:szCs w:val="24"/>
        </w:rPr>
        <w:t xml:space="preserve"> </w:t>
      </w:r>
      <w:r w:rsidR="00892A4B">
        <w:rPr>
          <w:rFonts w:ascii="Times New Roman" w:hAnsi="Times New Roman" w:cs="Times New Roman"/>
          <w:sz w:val="24"/>
          <w:szCs w:val="24"/>
        </w:rPr>
        <w:t>This is the likelihood of outcome event occurring within a single group of individuals.</w:t>
      </w:r>
    </w:p>
    <w:p w14:paraId="4C23C0FA" w14:textId="0D8990CB" w:rsidR="00892A4B" w:rsidRPr="00892A4B" w:rsidRDefault="00892A4B" w:rsidP="00BC2A58">
      <w:pPr>
        <w:pStyle w:val="ListParagraph"/>
        <w:numPr>
          <w:ilvl w:val="0"/>
          <w:numId w:val="11"/>
        </w:numPr>
        <w:jc w:val="both"/>
        <w:rPr>
          <w:rFonts w:ascii="Times New Roman" w:hAnsi="Times New Roman" w:cs="Times New Roman"/>
          <w:b/>
          <w:bCs/>
          <w:sz w:val="24"/>
          <w:szCs w:val="24"/>
        </w:rPr>
      </w:pPr>
      <w:r>
        <w:rPr>
          <w:rFonts w:ascii="Times New Roman" w:hAnsi="Times New Roman" w:cs="Times New Roman"/>
          <w:b/>
          <w:bCs/>
          <w:sz w:val="24"/>
          <w:szCs w:val="24"/>
        </w:rPr>
        <w:t>Relative risk:</w:t>
      </w:r>
      <w:r>
        <w:rPr>
          <w:rFonts w:ascii="Times New Roman" w:hAnsi="Times New Roman" w:cs="Times New Roman"/>
          <w:sz w:val="24"/>
          <w:szCs w:val="24"/>
        </w:rPr>
        <w:t xml:space="preserve"> This is the ratio of the absolute risk of an outcome event occurring between two groups, hence the term relative. If the absolute risk of lung cancer in smokers was 5.3, while that in the non-smokers was 0.4, then the relative risk of lung cancers in smokers compared with non-smokers will be 5.3/0.4= 13.25.</w:t>
      </w:r>
      <w:r w:rsidR="00A71966">
        <w:rPr>
          <w:rFonts w:ascii="Times New Roman" w:hAnsi="Times New Roman" w:cs="Times New Roman"/>
          <w:sz w:val="24"/>
          <w:szCs w:val="24"/>
        </w:rPr>
        <w:t xml:space="preserve"> Relative risk is also referred to as the </w:t>
      </w:r>
      <w:r w:rsidR="00A71966" w:rsidRPr="00A71966">
        <w:rPr>
          <w:rFonts w:ascii="Times New Roman" w:hAnsi="Times New Roman" w:cs="Times New Roman"/>
          <w:b/>
          <w:bCs/>
          <w:sz w:val="24"/>
          <w:szCs w:val="24"/>
        </w:rPr>
        <w:t>risk ratio</w:t>
      </w:r>
      <w:r w:rsidR="00A71966">
        <w:rPr>
          <w:rFonts w:ascii="Times New Roman" w:hAnsi="Times New Roman" w:cs="Times New Roman"/>
          <w:sz w:val="24"/>
          <w:szCs w:val="24"/>
        </w:rPr>
        <w:t xml:space="preserve"> (RR).</w:t>
      </w:r>
    </w:p>
    <w:p w14:paraId="100BCED4" w14:textId="333E9B45" w:rsidR="00892A4B" w:rsidRPr="000F3472" w:rsidRDefault="00892A4B" w:rsidP="00BC2A58">
      <w:pPr>
        <w:pStyle w:val="ListParagraph"/>
        <w:numPr>
          <w:ilvl w:val="0"/>
          <w:numId w:val="11"/>
        </w:numPr>
        <w:jc w:val="both"/>
        <w:rPr>
          <w:rFonts w:ascii="Times New Roman" w:hAnsi="Times New Roman" w:cs="Times New Roman"/>
          <w:b/>
          <w:bCs/>
          <w:sz w:val="24"/>
          <w:szCs w:val="24"/>
        </w:rPr>
      </w:pPr>
      <w:r>
        <w:rPr>
          <w:rFonts w:ascii="Times New Roman" w:hAnsi="Times New Roman" w:cs="Times New Roman"/>
          <w:b/>
          <w:bCs/>
          <w:sz w:val="24"/>
          <w:szCs w:val="24"/>
        </w:rPr>
        <w:t>Attributable risk:</w:t>
      </w:r>
      <w:r>
        <w:rPr>
          <w:rFonts w:ascii="Times New Roman" w:hAnsi="Times New Roman" w:cs="Times New Roman"/>
          <w:sz w:val="24"/>
          <w:szCs w:val="24"/>
        </w:rPr>
        <w:t xml:space="preserve"> </w:t>
      </w:r>
      <w:r w:rsidR="00A71966">
        <w:rPr>
          <w:rFonts w:ascii="Times New Roman" w:hAnsi="Times New Roman" w:cs="Times New Roman"/>
          <w:sz w:val="24"/>
          <w:szCs w:val="24"/>
        </w:rPr>
        <w:t xml:space="preserve">It is the </w:t>
      </w:r>
      <w:r w:rsidR="00A71966" w:rsidRPr="00A71966">
        <w:rPr>
          <w:rFonts w:ascii="Times New Roman" w:hAnsi="Times New Roman" w:cs="Times New Roman"/>
          <w:sz w:val="24"/>
          <w:szCs w:val="24"/>
        </w:rPr>
        <w:t>portion of disease rate attributable to the exposure factor in the epidemiologic context</w:t>
      </w:r>
      <w:r w:rsidR="00A71966">
        <w:rPr>
          <w:rFonts w:ascii="Times New Roman" w:hAnsi="Times New Roman" w:cs="Times New Roman"/>
          <w:sz w:val="24"/>
          <w:szCs w:val="24"/>
        </w:rPr>
        <w:t>. In other words, t</w:t>
      </w:r>
      <w:r w:rsidR="00A71966" w:rsidRPr="00A71966">
        <w:rPr>
          <w:rFonts w:ascii="Times New Roman" w:hAnsi="Times New Roman" w:cs="Times New Roman"/>
          <w:sz w:val="24"/>
          <w:szCs w:val="24"/>
        </w:rPr>
        <w:t>he attributable risk is the extent to which the incidence of disease would be reduced had the individuals not been exposed to the factor</w:t>
      </w:r>
      <w:r w:rsidR="00A71966">
        <w:rPr>
          <w:rFonts w:ascii="Times New Roman" w:hAnsi="Times New Roman" w:cs="Times New Roman"/>
          <w:sz w:val="24"/>
          <w:szCs w:val="24"/>
        </w:rPr>
        <w:t>. This is the difference between the absolute risk of an outcome event between the exposed and the unexposed group</w:t>
      </w:r>
      <w:r w:rsidR="000F3472">
        <w:rPr>
          <w:rFonts w:ascii="Times New Roman" w:hAnsi="Times New Roman" w:cs="Times New Roman"/>
          <w:sz w:val="24"/>
          <w:szCs w:val="24"/>
        </w:rPr>
        <w:t xml:space="preserve"> divided by the absolute risk in the exposed group</w:t>
      </w:r>
      <w:r w:rsidR="00A71966">
        <w:rPr>
          <w:rFonts w:ascii="Times New Roman" w:hAnsi="Times New Roman" w:cs="Times New Roman"/>
          <w:sz w:val="24"/>
          <w:szCs w:val="24"/>
        </w:rPr>
        <w:t xml:space="preserve">. Using the example in (e) above, the attributable risk of lung cancer due to smoking= </w:t>
      </w:r>
      <w:r w:rsidR="000F3472">
        <w:rPr>
          <w:rFonts w:ascii="Times New Roman" w:hAnsi="Times New Roman" w:cs="Times New Roman"/>
          <w:sz w:val="24"/>
          <w:szCs w:val="24"/>
        </w:rPr>
        <w:t>(</w:t>
      </w:r>
      <w:r w:rsidR="00A71966">
        <w:rPr>
          <w:rFonts w:ascii="Times New Roman" w:hAnsi="Times New Roman" w:cs="Times New Roman"/>
          <w:sz w:val="24"/>
          <w:szCs w:val="24"/>
        </w:rPr>
        <w:t>5.3-</w:t>
      </w:r>
      <w:r w:rsidR="000F3472">
        <w:rPr>
          <w:rFonts w:ascii="Times New Roman" w:hAnsi="Times New Roman" w:cs="Times New Roman"/>
          <w:sz w:val="24"/>
          <w:szCs w:val="24"/>
        </w:rPr>
        <w:t>0.4)/5.3*100= 0.92. This means that more than 92% of the lung cancers were due to exposure (smoking).</w:t>
      </w:r>
    </w:p>
    <w:p w14:paraId="0FABC88F" w14:textId="75665CA4" w:rsidR="000F3472" w:rsidRDefault="000F3472" w:rsidP="00BC2A58">
      <w:pPr>
        <w:pStyle w:val="ListParagraph"/>
        <w:numPr>
          <w:ilvl w:val="0"/>
          <w:numId w:val="11"/>
        </w:numPr>
        <w:jc w:val="both"/>
        <w:rPr>
          <w:rFonts w:ascii="Times New Roman" w:hAnsi="Times New Roman" w:cs="Times New Roman"/>
          <w:sz w:val="24"/>
          <w:szCs w:val="24"/>
        </w:rPr>
      </w:pPr>
      <w:r>
        <w:rPr>
          <w:rFonts w:ascii="Times New Roman" w:hAnsi="Times New Roman" w:cs="Times New Roman"/>
          <w:b/>
          <w:bCs/>
          <w:sz w:val="24"/>
          <w:szCs w:val="24"/>
        </w:rPr>
        <w:t xml:space="preserve">Number needed to treat/prevent (NNT/NNP): </w:t>
      </w:r>
      <w:r w:rsidRPr="000F3472">
        <w:rPr>
          <w:rFonts w:ascii="Times New Roman" w:hAnsi="Times New Roman" w:cs="Times New Roman"/>
          <w:sz w:val="24"/>
          <w:szCs w:val="24"/>
        </w:rPr>
        <w:t>NNT is the average number of patients who need to be treated to prevent one additional adverse outcome</w:t>
      </w:r>
      <w:r>
        <w:rPr>
          <w:rFonts w:ascii="Times New Roman" w:hAnsi="Times New Roman" w:cs="Times New Roman"/>
          <w:sz w:val="24"/>
          <w:szCs w:val="24"/>
        </w:rPr>
        <w:t xml:space="preserve">. </w:t>
      </w:r>
      <w:r w:rsidRPr="000F3472">
        <w:rPr>
          <w:rFonts w:ascii="Times New Roman" w:hAnsi="Times New Roman" w:cs="Times New Roman"/>
          <w:sz w:val="24"/>
          <w:szCs w:val="24"/>
        </w:rPr>
        <w:t>the inverse of the absolute risk difference and can thus simply be calculated by dividing 1 by the absolute risk difference</w:t>
      </w:r>
      <w:r>
        <w:rPr>
          <w:rFonts w:ascii="Times New Roman" w:hAnsi="Times New Roman" w:cs="Times New Roman"/>
          <w:sz w:val="24"/>
          <w:szCs w:val="24"/>
        </w:rPr>
        <w:t xml:space="preserve">. </w:t>
      </w:r>
      <w:r w:rsidRPr="000F3472">
        <w:rPr>
          <w:rFonts w:ascii="Times New Roman" w:hAnsi="Times New Roman" w:cs="Times New Roman"/>
          <w:sz w:val="24"/>
          <w:szCs w:val="24"/>
        </w:rPr>
        <w:t>For example, suppose one aims to study a new drug and the study results show that the risk of the disease was 0.14 (14%) in the group exposed to the new drug and 0.18 (18%) in the control group unexposed to the drug. The absolute risk reduction would then be 0.18 − 0.14 = 0.04, yielding a</w:t>
      </w:r>
      <w:r>
        <w:rPr>
          <w:rFonts w:ascii="Times New Roman" w:hAnsi="Times New Roman" w:cs="Times New Roman"/>
          <w:sz w:val="24"/>
          <w:szCs w:val="24"/>
        </w:rPr>
        <w:t xml:space="preserve">n </w:t>
      </w:r>
      <w:r w:rsidRPr="000F3472">
        <w:rPr>
          <w:rFonts w:ascii="Times New Roman" w:hAnsi="Times New Roman" w:cs="Times New Roman"/>
          <w:sz w:val="24"/>
          <w:szCs w:val="24"/>
        </w:rPr>
        <w:t>NNT of 1/0.04 = 25. This means that 25 patients need to be treated with the new drug to prevent one new case of the disease, which can be considered as a good result that supports the use of the new drug.</w:t>
      </w:r>
    </w:p>
    <w:p w14:paraId="72FCF31D" w14:textId="087AFB78" w:rsidR="000F3472" w:rsidRDefault="000F3472" w:rsidP="00BC2A58">
      <w:pPr>
        <w:pStyle w:val="ListParagraph"/>
        <w:numPr>
          <w:ilvl w:val="0"/>
          <w:numId w:val="11"/>
        </w:numPr>
        <w:jc w:val="both"/>
        <w:rPr>
          <w:rFonts w:ascii="Times New Roman" w:hAnsi="Times New Roman" w:cs="Times New Roman"/>
          <w:sz w:val="24"/>
          <w:szCs w:val="24"/>
        </w:rPr>
      </w:pPr>
      <w:r>
        <w:rPr>
          <w:rFonts w:ascii="Times New Roman" w:hAnsi="Times New Roman" w:cs="Times New Roman"/>
          <w:b/>
          <w:bCs/>
          <w:sz w:val="24"/>
          <w:szCs w:val="24"/>
        </w:rPr>
        <w:t>Odds ratio:</w:t>
      </w:r>
      <w:r>
        <w:rPr>
          <w:rFonts w:ascii="Times New Roman" w:hAnsi="Times New Roman" w:cs="Times New Roman"/>
          <w:sz w:val="24"/>
          <w:szCs w:val="24"/>
        </w:rPr>
        <w:t xml:space="preserve"> This s</w:t>
      </w:r>
      <w:r w:rsidRPr="000F3472">
        <w:rPr>
          <w:rFonts w:ascii="Times New Roman" w:hAnsi="Times New Roman" w:cs="Times New Roman"/>
          <w:sz w:val="24"/>
          <w:szCs w:val="24"/>
        </w:rPr>
        <w:t xml:space="preserve">s a measure of association between an exposure and an outcome. The OR represents the odds that an outcome will occur given a particular exposure, compared to the odds of the outcome occurring in the absence of that exposure. Odds ratios are most commonly used in case-control </w:t>
      </w:r>
      <w:r w:rsidRPr="000F3472">
        <w:rPr>
          <w:rFonts w:ascii="Times New Roman" w:hAnsi="Times New Roman" w:cs="Times New Roman"/>
          <w:sz w:val="24"/>
          <w:szCs w:val="24"/>
        </w:rPr>
        <w:t>studies;</w:t>
      </w:r>
      <w:r w:rsidRPr="000F3472">
        <w:rPr>
          <w:rFonts w:ascii="Times New Roman" w:hAnsi="Times New Roman" w:cs="Times New Roman"/>
          <w:sz w:val="24"/>
          <w:szCs w:val="24"/>
        </w:rPr>
        <w:t xml:space="preserve"> </w:t>
      </w:r>
      <w:r w:rsidRPr="000F3472">
        <w:rPr>
          <w:rFonts w:ascii="Times New Roman" w:hAnsi="Times New Roman" w:cs="Times New Roman"/>
          <w:sz w:val="24"/>
          <w:szCs w:val="24"/>
        </w:rPr>
        <w:t>however,</w:t>
      </w:r>
      <w:r w:rsidRPr="000F3472">
        <w:rPr>
          <w:rFonts w:ascii="Times New Roman" w:hAnsi="Times New Roman" w:cs="Times New Roman"/>
          <w:sz w:val="24"/>
          <w:szCs w:val="24"/>
        </w:rPr>
        <w:t xml:space="preserve"> they can also be used in cross-sectional and cohort study designs as well (with some modifications and/or assumptions).</w:t>
      </w:r>
    </w:p>
    <w:p w14:paraId="710DEDA7" w14:textId="65E2DCF0" w:rsidR="000F3472" w:rsidRDefault="000F3472" w:rsidP="00BC2A58">
      <w:pPr>
        <w:pStyle w:val="ListParagraph"/>
        <w:numPr>
          <w:ilvl w:val="0"/>
          <w:numId w:val="11"/>
        </w:numPr>
        <w:jc w:val="both"/>
        <w:rPr>
          <w:rFonts w:ascii="Times New Roman" w:hAnsi="Times New Roman" w:cs="Times New Roman"/>
          <w:sz w:val="24"/>
          <w:szCs w:val="24"/>
        </w:rPr>
      </w:pPr>
      <w:r>
        <w:rPr>
          <w:rFonts w:ascii="Times New Roman" w:hAnsi="Times New Roman" w:cs="Times New Roman"/>
          <w:b/>
          <w:bCs/>
          <w:sz w:val="24"/>
          <w:szCs w:val="24"/>
        </w:rPr>
        <w:t>P</w:t>
      </w:r>
      <w:r w:rsidRPr="000F3472">
        <w:rPr>
          <w:rFonts w:ascii="Times New Roman" w:hAnsi="Times New Roman" w:cs="Times New Roman"/>
          <w:b/>
          <w:bCs/>
          <w:sz w:val="24"/>
          <w:szCs w:val="24"/>
        </w:rPr>
        <w:t>-value:</w:t>
      </w:r>
      <w:r>
        <w:rPr>
          <w:rFonts w:ascii="Times New Roman" w:hAnsi="Times New Roman" w:cs="Times New Roman"/>
          <w:sz w:val="24"/>
          <w:szCs w:val="24"/>
        </w:rPr>
        <w:t xml:space="preserve"> </w:t>
      </w:r>
      <w:r w:rsidRPr="000F3472">
        <w:rPr>
          <w:rFonts w:ascii="Times New Roman" w:hAnsi="Times New Roman" w:cs="Times New Roman"/>
          <w:sz w:val="24"/>
          <w:szCs w:val="24"/>
        </w:rPr>
        <w:t>is the probability of obtaining the observed results of a test, assuming that the null hypothesis is correct. It is the level of marginal significance within a statistical hypothesis test representing the probability of the occurrence of a given event.</w:t>
      </w:r>
    </w:p>
    <w:p w14:paraId="4B42DD05" w14:textId="6F11EE25" w:rsidR="000F3472" w:rsidRPr="000F3472" w:rsidRDefault="000F3472" w:rsidP="00BC2A58">
      <w:pPr>
        <w:pStyle w:val="ListParagraph"/>
        <w:numPr>
          <w:ilvl w:val="0"/>
          <w:numId w:val="11"/>
        </w:numPr>
        <w:jc w:val="both"/>
        <w:rPr>
          <w:rFonts w:ascii="Times New Roman" w:hAnsi="Times New Roman" w:cs="Times New Roman"/>
          <w:sz w:val="24"/>
          <w:szCs w:val="24"/>
        </w:rPr>
      </w:pPr>
      <w:r>
        <w:rPr>
          <w:rFonts w:ascii="Times New Roman" w:hAnsi="Times New Roman" w:cs="Times New Roman"/>
          <w:b/>
          <w:bCs/>
          <w:sz w:val="24"/>
          <w:szCs w:val="24"/>
        </w:rPr>
        <w:lastRenderedPageBreak/>
        <w:t>95% confidence interval:</w:t>
      </w:r>
      <w:r>
        <w:rPr>
          <w:rFonts w:ascii="Times New Roman" w:hAnsi="Times New Roman" w:cs="Times New Roman"/>
          <w:sz w:val="24"/>
          <w:szCs w:val="24"/>
        </w:rPr>
        <w:t xml:space="preserve"> This is a </w:t>
      </w:r>
      <w:r w:rsidRPr="000F3472">
        <w:rPr>
          <w:rFonts w:ascii="Times New Roman" w:hAnsi="Times New Roman" w:cs="Times New Roman"/>
          <w:sz w:val="24"/>
          <w:szCs w:val="24"/>
        </w:rPr>
        <w:t xml:space="preserve">range of values that you can be 95% certain contains the true </w:t>
      </w:r>
      <w:r w:rsidR="00F65DDB">
        <w:rPr>
          <w:rFonts w:ascii="Times New Roman" w:hAnsi="Times New Roman" w:cs="Times New Roman"/>
          <w:sz w:val="24"/>
          <w:szCs w:val="24"/>
        </w:rPr>
        <w:t>point estimate (mean or proportion)</w:t>
      </w:r>
      <w:bookmarkStart w:id="0" w:name="_GoBack"/>
      <w:bookmarkEnd w:id="0"/>
      <w:r w:rsidRPr="000F3472">
        <w:rPr>
          <w:rFonts w:ascii="Times New Roman" w:hAnsi="Times New Roman" w:cs="Times New Roman"/>
          <w:sz w:val="24"/>
          <w:szCs w:val="24"/>
        </w:rPr>
        <w:t xml:space="preserve"> of the population.</w:t>
      </w:r>
    </w:p>
    <w:sectPr w:rsidR="000F3472" w:rsidRPr="000F34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52A8"/>
    <w:multiLevelType w:val="hybridMultilevel"/>
    <w:tmpl w:val="6B2A91CC"/>
    <w:lvl w:ilvl="0" w:tplc="08090019">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BCC339D"/>
    <w:multiLevelType w:val="hybridMultilevel"/>
    <w:tmpl w:val="AD08B0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495058"/>
    <w:multiLevelType w:val="hybridMultilevel"/>
    <w:tmpl w:val="A0381CB0"/>
    <w:lvl w:ilvl="0" w:tplc="08090017">
      <w:start w:val="1"/>
      <w:numFmt w:val="lowerLetter"/>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D00252CA">
      <w:start w:val="1"/>
      <w:numFmt w:val="lowerRoman"/>
      <w:lvlText w:val="%3."/>
      <w:lvlJc w:val="left"/>
      <w:pPr>
        <w:ind w:left="2340" w:hanging="72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7EC79A7"/>
    <w:multiLevelType w:val="hybridMultilevel"/>
    <w:tmpl w:val="ADA8798A"/>
    <w:lvl w:ilvl="0" w:tplc="31E82122">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B31A7A"/>
    <w:multiLevelType w:val="hybridMultilevel"/>
    <w:tmpl w:val="168C6206"/>
    <w:lvl w:ilvl="0" w:tplc="3B1062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2F10C1"/>
    <w:multiLevelType w:val="hybridMultilevel"/>
    <w:tmpl w:val="35E604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FB0BBF"/>
    <w:multiLevelType w:val="hybridMultilevel"/>
    <w:tmpl w:val="BB9E34E0"/>
    <w:lvl w:ilvl="0" w:tplc="F0C670C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EC81A54"/>
    <w:multiLevelType w:val="hybridMultilevel"/>
    <w:tmpl w:val="2634125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FC3787"/>
    <w:multiLevelType w:val="hybridMultilevel"/>
    <w:tmpl w:val="271CA9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367FD8"/>
    <w:multiLevelType w:val="hybridMultilevel"/>
    <w:tmpl w:val="B72CA1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C0655E4"/>
    <w:multiLevelType w:val="hybridMultilevel"/>
    <w:tmpl w:val="9D0C63E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3"/>
  </w:num>
  <w:num w:numId="4">
    <w:abstractNumId w:val="4"/>
  </w:num>
  <w:num w:numId="5">
    <w:abstractNumId w:val="6"/>
  </w:num>
  <w:num w:numId="6">
    <w:abstractNumId w:val="10"/>
  </w:num>
  <w:num w:numId="7">
    <w:abstractNumId w:val="0"/>
  </w:num>
  <w:num w:numId="8">
    <w:abstractNumId w:val="5"/>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8CE"/>
    <w:rsid w:val="00000389"/>
    <w:rsid w:val="000F3472"/>
    <w:rsid w:val="00156E8E"/>
    <w:rsid w:val="00293184"/>
    <w:rsid w:val="002A67B4"/>
    <w:rsid w:val="00332641"/>
    <w:rsid w:val="005078CE"/>
    <w:rsid w:val="00591EE1"/>
    <w:rsid w:val="006C347F"/>
    <w:rsid w:val="006C6929"/>
    <w:rsid w:val="006D29EA"/>
    <w:rsid w:val="006D6D9D"/>
    <w:rsid w:val="007D7981"/>
    <w:rsid w:val="007E17C9"/>
    <w:rsid w:val="00852A59"/>
    <w:rsid w:val="00892A4B"/>
    <w:rsid w:val="00933F40"/>
    <w:rsid w:val="009A0EDD"/>
    <w:rsid w:val="00A71966"/>
    <w:rsid w:val="00B664AD"/>
    <w:rsid w:val="00BC2A58"/>
    <w:rsid w:val="00BE50BA"/>
    <w:rsid w:val="00D0391B"/>
    <w:rsid w:val="00D23649"/>
    <w:rsid w:val="00E36942"/>
    <w:rsid w:val="00E87832"/>
    <w:rsid w:val="00F238A1"/>
    <w:rsid w:val="00F3718A"/>
    <w:rsid w:val="00F65D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6BA6E"/>
  <w15:chartTrackingRefBased/>
  <w15:docId w15:val="{5CAA8D9B-E63E-459E-85FE-5C35998BB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8CE"/>
    <w:pPr>
      <w:ind w:left="720"/>
      <w:contextualSpacing/>
    </w:pPr>
  </w:style>
  <w:style w:type="character" w:styleId="Hyperlink">
    <w:name w:val="Hyperlink"/>
    <w:basedOn w:val="DefaultParagraphFont"/>
    <w:uiPriority w:val="99"/>
    <w:unhideWhenUsed/>
    <w:rsid w:val="005078CE"/>
    <w:rPr>
      <w:color w:val="0000FF"/>
      <w:u w:val="single"/>
    </w:rPr>
  </w:style>
  <w:style w:type="character" w:styleId="UnresolvedMention">
    <w:name w:val="Unresolved Mention"/>
    <w:basedOn w:val="DefaultParagraphFont"/>
    <w:uiPriority w:val="99"/>
    <w:semiHidden/>
    <w:unhideWhenUsed/>
    <w:rsid w:val="00D0391B"/>
    <w:rPr>
      <w:color w:val="605E5C"/>
      <w:shd w:val="clear" w:color="auto" w:fill="E1DFDD"/>
    </w:rPr>
  </w:style>
  <w:style w:type="table" w:styleId="TableGrid">
    <w:name w:val="Table Grid"/>
    <w:basedOn w:val="TableNormal"/>
    <w:uiPriority w:val="39"/>
    <w:rsid w:val="00F37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ho.int/ncd_surveillance/en/steps_framework_dec03.pdf" TargetMode="External"/><Relationship Id="rId12" Type="http://schemas.microsoft.com/office/2007/relationships/diagramDrawing" Target="diagrams/drawing1.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s://www.who.int/ncd_surveillance/en/steps_framework_dec03.pdf" TargetMode="External"/><Relationship Id="rId11" Type="http://schemas.openxmlformats.org/officeDocument/2006/relationships/diagramColors" Target="diagrams/colors1.xml"/><Relationship Id="rId5" Type="http://schemas.openxmlformats.org/officeDocument/2006/relationships/hyperlink" Target="https://www.who.int/news-room/fact-sheets/detail/noncommunicable-diseases" TargetMode="External"/><Relationship Id="rId15" Type="http://schemas.openxmlformats.org/officeDocument/2006/relationships/image" Target="media/image3.png"/><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14B3A74-6910-4160-8E01-F728518DA0A4}" type="doc">
      <dgm:prSet loTypeId="urn:microsoft.com/office/officeart/2005/8/layout/vProcess5" loCatId="process" qsTypeId="urn:microsoft.com/office/officeart/2005/8/quickstyle/simple1" qsCatId="simple" csTypeId="urn:microsoft.com/office/officeart/2005/8/colors/accent0_3" csCatId="mainScheme" phldr="1"/>
      <dgm:spPr/>
      <dgm:t>
        <a:bodyPr/>
        <a:lstStyle/>
        <a:p>
          <a:endParaRPr lang="en-GB"/>
        </a:p>
      </dgm:t>
    </dgm:pt>
    <dgm:pt modelId="{AC75D16B-D03F-468C-BDE2-9FD8F1CB3087}">
      <dgm:prSet phldrT="[Text]"/>
      <dgm:spPr/>
      <dgm:t>
        <a:bodyPr/>
        <a:lstStyle/>
        <a:p>
          <a:r>
            <a:rPr lang="en-GB" b="1"/>
            <a:t>Behavioural risk factors: </a:t>
          </a:r>
          <a:r>
            <a:rPr lang="en-GB" b="0"/>
            <a:t>Tobacco, Alcohol, Physical inactivity and Nutrition</a:t>
          </a:r>
        </a:p>
      </dgm:t>
    </dgm:pt>
    <dgm:pt modelId="{AB03EF14-7C70-4BFA-A2BB-0ED6CE392C40}" type="parTrans" cxnId="{70A753E0-E01E-4492-9AA8-A4565F64E7A5}">
      <dgm:prSet/>
      <dgm:spPr/>
      <dgm:t>
        <a:bodyPr/>
        <a:lstStyle/>
        <a:p>
          <a:endParaRPr lang="en-GB"/>
        </a:p>
      </dgm:t>
    </dgm:pt>
    <dgm:pt modelId="{CB8FF782-4CCF-47B7-B279-B033C6BEF71A}" type="sibTrans" cxnId="{70A753E0-E01E-4492-9AA8-A4565F64E7A5}">
      <dgm:prSet/>
      <dgm:spPr/>
      <dgm:t>
        <a:bodyPr/>
        <a:lstStyle/>
        <a:p>
          <a:endParaRPr lang="en-GB"/>
        </a:p>
      </dgm:t>
    </dgm:pt>
    <dgm:pt modelId="{53DD1C93-EBAD-44E4-8E20-09440E982EB5}">
      <dgm:prSet phldrT="[Text]"/>
      <dgm:spPr/>
      <dgm:t>
        <a:bodyPr/>
        <a:lstStyle/>
        <a:p>
          <a:r>
            <a:rPr lang="en-GB" b="1"/>
            <a:t>Disease Outcomes: </a:t>
          </a:r>
          <a:r>
            <a:rPr lang="en-GB"/>
            <a:t>Heart disease, stroke, diabetes mellitus, cancer and renal diseases.</a:t>
          </a:r>
        </a:p>
      </dgm:t>
    </dgm:pt>
    <dgm:pt modelId="{66E86F32-D07B-4C3C-8C1A-F69A80BA86E5}" type="parTrans" cxnId="{F5955AC8-988A-4276-99F7-0662E31DF075}">
      <dgm:prSet/>
      <dgm:spPr/>
      <dgm:t>
        <a:bodyPr/>
        <a:lstStyle/>
        <a:p>
          <a:endParaRPr lang="en-GB"/>
        </a:p>
      </dgm:t>
    </dgm:pt>
    <dgm:pt modelId="{FB2D1709-66F6-445D-9313-4D07A3E170F5}" type="sibTrans" cxnId="{F5955AC8-988A-4276-99F7-0662E31DF075}">
      <dgm:prSet/>
      <dgm:spPr/>
      <dgm:t>
        <a:bodyPr/>
        <a:lstStyle/>
        <a:p>
          <a:endParaRPr lang="en-GB"/>
        </a:p>
      </dgm:t>
    </dgm:pt>
    <dgm:pt modelId="{F5245D14-2257-40D9-B216-26B2BF3A15A0}">
      <dgm:prSet phldrT="[Text]"/>
      <dgm:spPr/>
      <dgm:t>
        <a:bodyPr/>
        <a:lstStyle/>
        <a:p>
          <a:r>
            <a:rPr lang="en-GB" b="1"/>
            <a:t>Physiological risk factors: </a:t>
          </a:r>
          <a:r>
            <a:rPr lang="en-GB"/>
            <a:t>Body mass index (BMI), blood pressure, blood glucose and cholesterol levels.</a:t>
          </a:r>
        </a:p>
      </dgm:t>
    </dgm:pt>
    <dgm:pt modelId="{7EE6EF68-7079-40F1-89C3-EA2DA3C230A1}" type="parTrans" cxnId="{06B15A77-08ED-4B35-8C3A-E6A374CCF4BB}">
      <dgm:prSet/>
      <dgm:spPr/>
      <dgm:t>
        <a:bodyPr/>
        <a:lstStyle/>
        <a:p>
          <a:endParaRPr lang="en-GB"/>
        </a:p>
      </dgm:t>
    </dgm:pt>
    <dgm:pt modelId="{C82DAA71-9ED8-4E5B-AF03-F10A907BA9FC}" type="sibTrans" cxnId="{06B15A77-08ED-4B35-8C3A-E6A374CCF4BB}">
      <dgm:prSet/>
      <dgm:spPr/>
      <dgm:t>
        <a:bodyPr/>
        <a:lstStyle/>
        <a:p>
          <a:endParaRPr lang="en-GB"/>
        </a:p>
      </dgm:t>
    </dgm:pt>
    <dgm:pt modelId="{BAD2E8DC-5AF0-484E-A740-4B2285FBCE52}" type="pres">
      <dgm:prSet presAssocID="{514B3A74-6910-4160-8E01-F728518DA0A4}" presName="outerComposite" presStyleCnt="0">
        <dgm:presLayoutVars>
          <dgm:chMax val="5"/>
          <dgm:dir/>
          <dgm:resizeHandles val="exact"/>
        </dgm:presLayoutVars>
      </dgm:prSet>
      <dgm:spPr/>
    </dgm:pt>
    <dgm:pt modelId="{756A3770-5258-40EC-A3C7-3CCEF3C0119F}" type="pres">
      <dgm:prSet presAssocID="{514B3A74-6910-4160-8E01-F728518DA0A4}" presName="dummyMaxCanvas" presStyleCnt="0">
        <dgm:presLayoutVars/>
      </dgm:prSet>
      <dgm:spPr/>
    </dgm:pt>
    <dgm:pt modelId="{E91FBDA9-1C93-479E-92CD-C67015C153BA}" type="pres">
      <dgm:prSet presAssocID="{514B3A74-6910-4160-8E01-F728518DA0A4}" presName="ThreeNodes_1" presStyleLbl="node1" presStyleIdx="0" presStyleCnt="3">
        <dgm:presLayoutVars>
          <dgm:bulletEnabled val="1"/>
        </dgm:presLayoutVars>
      </dgm:prSet>
      <dgm:spPr/>
    </dgm:pt>
    <dgm:pt modelId="{7DD81090-12CC-47EE-9002-90FFC4F9C92F}" type="pres">
      <dgm:prSet presAssocID="{514B3A74-6910-4160-8E01-F728518DA0A4}" presName="ThreeNodes_2" presStyleLbl="node1" presStyleIdx="1" presStyleCnt="3">
        <dgm:presLayoutVars>
          <dgm:bulletEnabled val="1"/>
        </dgm:presLayoutVars>
      </dgm:prSet>
      <dgm:spPr/>
    </dgm:pt>
    <dgm:pt modelId="{CE08751E-D526-4DC9-BF41-E23CEC6F3935}" type="pres">
      <dgm:prSet presAssocID="{514B3A74-6910-4160-8E01-F728518DA0A4}" presName="ThreeNodes_3" presStyleLbl="node1" presStyleIdx="2" presStyleCnt="3">
        <dgm:presLayoutVars>
          <dgm:bulletEnabled val="1"/>
        </dgm:presLayoutVars>
      </dgm:prSet>
      <dgm:spPr/>
    </dgm:pt>
    <dgm:pt modelId="{7AC14C40-56FD-43FD-BB69-752EF77751A1}" type="pres">
      <dgm:prSet presAssocID="{514B3A74-6910-4160-8E01-F728518DA0A4}" presName="ThreeConn_1-2" presStyleLbl="fgAccFollowNode1" presStyleIdx="0" presStyleCnt="2">
        <dgm:presLayoutVars>
          <dgm:bulletEnabled val="1"/>
        </dgm:presLayoutVars>
      </dgm:prSet>
      <dgm:spPr/>
    </dgm:pt>
    <dgm:pt modelId="{192540EC-BB32-4204-AB36-E7D4C81A8C3E}" type="pres">
      <dgm:prSet presAssocID="{514B3A74-6910-4160-8E01-F728518DA0A4}" presName="ThreeConn_2-3" presStyleLbl="fgAccFollowNode1" presStyleIdx="1" presStyleCnt="2">
        <dgm:presLayoutVars>
          <dgm:bulletEnabled val="1"/>
        </dgm:presLayoutVars>
      </dgm:prSet>
      <dgm:spPr/>
    </dgm:pt>
    <dgm:pt modelId="{4010428A-3962-43BC-BB3B-F6D44449DB1A}" type="pres">
      <dgm:prSet presAssocID="{514B3A74-6910-4160-8E01-F728518DA0A4}" presName="ThreeNodes_1_text" presStyleLbl="node1" presStyleIdx="2" presStyleCnt="3">
        <dgm:presLayoutVars>
          <dgm:bulletEnabled val="1"/>
        </dgm:presLayoutVars>
      </dgm:prSet>
      <dgm:spPr/>
    </dgm:pt>
    <dgm:pt modelId="{714ABF37-AF9C-4333-B1AA-8B3908C6383D}" type="pres">
      <dgm:prSet presAssocID="{514B3A74-6910-4160-8E01-F728518DA0A4}" presName="ThreeNodes_2_text" presStyleLbl="node1" presStyleIdx="2" presStyleCnt="3">
        <dgm:presLayoutVars>
          <dgm:bulletEnabled val="1"/>
        </dgm:presLayoutVars>
      </dgm:prSet>
      <dgm:spPr/>
    </dgm:pt>
    <dgm:pt modelId="{2D5D9639-4CBD-4FC9-A952-EA25187EC4C3}" type="pres">
      <dgm:prSet presAssocID="{514B3A74-6910-4160-8E01-F728518DA0A4}" presName="ThreeNodes_3_text" presStyleLbl="node1" presStyleIdx="2" presStyleCnt="3">
        <dgm:presLayoutVars>
          <dgm:bulletEnabled val="1"/>
        </dgm:presLayoutVars>
      </dgm:prSet>
      <dgm:spPr/>
    </dgm:pt>
  </dgm:ptLst>
  <dgm:cxnLst>
    <dgm:cxn modelId="{1ECE2001-87E0-4507-8DF6-A2AC5181053E}" type="presOf" srcId="{AC75D16B-D03F-468C-BDE2-9FD8F1CB3087}" destId="{E91FBDA9-1C93-479E-92CD-C67015C153BA}" srcOrd="0" destOrd="0" presId="urn:microsoft.com/office/officeart/2005/8/layout/vProcess5"/>
    <dgm:cxn modelId="{E7605E03-4E02-4A1B-8EF6-80DCAFE116AB}" type="presOf" srcId="{CB8FF782-4CCF-47B7-B279-B033C6BEF71A}" destId="{7AC14C40-56FD-43FD-BB69-752EF77751A1}" srcOrd="0" destOrd="0" presId="urn:microsoft.com/office/officeart/2005/8/layout/vProcess5"/>
    <dgm:cxn modelId="{EEE90627-FA43-4C2C-9750-8B11FB57C367}" type="presOf" srcId="{AC75D16B-D03F-468C-BDE2-9FD8F1CB3087}" destId="{4010428A-3962-43BC-BB3B-F6D44449DB1A}" srcOrd="1" destOrd="0" presId="urn:microsoft.com/office/officeart/2005/8/layout/vProcess5"/>
    <dgm:cxn modelId="{7661C84C-A6FE-4D37-8D0D-7ED96A1860F4}" type="presOf" srcId="{C82DAA71-9ED8-4E5B-AF03-F10A907BA9FC}" destId="{192540EC-BB32-4204-AB36-E7D4C81A8C3E}" srcOrd="0" destOrd="0" presId="urn:microsoft.com/office/officeart/2005/8/layout/vProcess5"/>
    <dgm:cxn modelId="{06B15A77-08ED-4B35-8C3A-E6A374CCF4BB}" srcId="{514B3A74-6910-4160-8E01-F728518DA0A4}" destId="{F5245D14-2257-40D9-B216-26B2BF3A15A0}" srcOrd="1" destOrd="0" parTransId="{7EE6EF68-7079-40F1-89C3-EA2DA3C230A1}" sibTransId="{C82DAA71-9ED8-4E5B-AF03-F10A907BA9FC}"/>
    <dgm:cxn modelId="{D0B2F196-317F-4E61-B0C5-444E90B3FB57}" type="presOf" srcId="{53DD1C93-EBAD-44E4-8E20-09440E982EB5}" destId="{2D5D9639-4CBD-4FC9-A952-EA25187EC4C3}" srcOrd="1" destOrd="0" presId="urn:microsoft.com/office/officeart/2005/8/layout/vProcess5"/>
    <dgm:cxn modelId="{6D31609A-70DE-4F87-8F5B-155BB9BABD17}" type="presOf" srcId="{53DD1C93-EBAD-44E4-8E20-09440E982EB5}" destId="{CE08751E-D526-4DC9-BF41-E23CEC6F3935}" srcOrd="0" destOrd="0" presId="urn:microsoft.com/office/officeart/2005/8/layout/vProcess5"/>
    <dgm:cxn modelId="{F5D51AAC-90FD-45A6-AE38-DEDC9AAAEE30}" type="presOf" srcId="{514B3A74-6910-4160-8E01-F728518DA0A4}" destId="{BAD2E8DC-5AF0-484E-A740-4B2285FBCE52}" srcOrd="0" destOrd="0" presId="urn:microsoft.com/office/officeart/2005/8/layout/vProcess5"/>
    <dgm:cxn modelId="{F5955AC8-988A-4276-99F7-0662E31DF075}" srcId="{514B3A74-6910-4160-8E01-F728518DA0A4}" destId="{53DD1C93-EBAD-44E4-8E20-09440E982EB5}" srcOrd="2" destOrd="0" parTransId="{66E86F32-D07B-4C3C-8C1A-F69A80BA86E5}" sibTransId="{FB2D1709-66F6-445D-9313-4D07A3E170F5}"/>
    <dgm:cxn modelId="{843F1ED3-6965-4923-8146-360488D17F35}" type="presOf" srcId="{F5245D14-2257-40D9-B216-26B2BF3A15A0}" destId="{714ABF37-AF9C-4333-B1AA-8B3908C6383D}" srcOrd="1" destOrd="0" presId="urn:microsoft.com/office/officeart/2005/8/layout/vProcess5"/>
    <dgm:cxn modelId="{0F2161D4-8112-4A28-910A-7E1BF2EA98FA}" type="presOf" srcId="{F5245D14-2257-40D9-B216-26B2BF3A15A0}" destId="{7DD81090-12CC-47EE-9002-90FFC4F9C92F}" srcOrd="0" destOrd="0" presId="urn:microsoft.com/office/officeart/2005/8/layout/vProcess5"/>
    <dgm:cxn modelId="{70A753E0-E01E-4492-9AA8-A4565F64E7A5}" srcId="{514B3A74-6910-4160-8E01-F728518DA0A4}" destId="{AC75D16B-D03F-468C-BDE2-9FD8F1CB3087}" srcOrd="0" destOrd="0" parTransId="{AB03EF14-7C70-4BFA-A2BB-0ED6CE392C40}" sibTransId="{CB8FF782-4CCF-47B7-B279-B033C6BEF71A}"/>
    <dgm:cxn modelId="{3C77E2FA-73D6-4B65-8502-5C3A1F18F641}" type="presParOf" srcId="{BAD2E8DC-5AF0-484E-A740-4B2285FBCE52}" destId="{756A3770-5258-40EC-A3C7-3CCEF3C0119F}" srcOrd="0" destOrd="0" presId="urn:microsoft.com/office/officeart/2005/8/layout/vProcess5"/>
    <dgm:cxn modelId="{8DEC75F7-214D-45A7-888B-B86E23F444F7}" type="presParOf" srcId="{BAD2E8DC-5AF0-484E-A740-4B2285FBCE52}" destId="{E91FBDA9-1C93-479E-92CD-C67015C153BA}" srcOrd="1" destOrd="0" presId="urn:microsoft.com/office/officeart/2005/8/layout/vProcess5"/>
    <dgm:cxn modelId="{3A6F9945-C648-42EA-8F35-84554F11E01A}" type="presParOf" srcId="{BAD2E8DC-5AF0-484E-A740-4B2285FBCE52}" destId="{7DD81090-12CC-47EE-9002-90FFC4F9C92F}" srcOrd="2" destOrd="0" presId="urn:microsoft.com/office/officeart/2005/8/layout/vProcess5"/>
    <dgm:cxn modelId="{DFF48C1D-1288-4CAE-82BF-9D6034FFE2AB}" type="presParOf" srcId="{BAD2E8DC-5AF0-484E-A740-4B2285FBCE52}" destId="{CE08751E-D526-4DC9-BF41-E23CEC6F3935}" srcOrd="3" destOrd="0" presId="urn:microsoft.com/office/officeart/2005/8/layout/vProcess5"/>
    <dgm:cxn modelId="{04AF6728-24CF-4A08-B16C-D5AB7AFF11CE}" type="presParOf" srcId="{BAD2E8DC-5AF0-484E-A740-4B2285FBCE52}" destId="{7AC14C40-56FD-43FD-BB69-752EF77751A1}" srcOrd="4" destOrd="0" presId="urn:microsoft.com/office/officeart/2005/8/layout/vProcess5"/>
    <dgm:cxn modelId="{D30E461F-8066-49B1-B895-8B97D511A6E9}" type="presParOf" srcId="{BAD2E8DC-5AF0-484E-A740-4B2285FBCE52}" destId="{192540EC-BB32-4204-AB36-E7D4C81A8C3E}" srcOrd="5" destOrd="0" presId="urn:microsoft.com/office/officeart/2005/8/layout/vProcess5"/>
    <dgm:cxn modelId="{04E5FC02-CEF5-4E74-BD31-904837AC5EBD}" type="presParOf" srcId="{BAD2E8DC-5AF0-484E-A740-4B2285FBCE52}" destId="{4010428A-3962-43BC-BB3B-F6D44449DB1A}" srcOrd="6" destOrd="0" presId="urn:microsoft.com/office/officeart/2005/8/layout/vProcess5"/>
    <dgm:cxn modelId="{A9FC0C9D-C508-4D91-9997-9719295F74D8}" type="presParOf" srcId="{BAD2E8DC-5AF0-484E-A740-4B2285FBCE52}" destId="{714ABF37-AF9C-4333-B1AA-8B3908C6383D}" srcOrd="7" destOrd="0" presId="urn:microsoft.com/office/officeart/2005/8/layout/vProcess5"/>
    <dgm:cxn modelId="{A51684BF-6AFB-4BDD-9C1F-C150C5EFEF01}" type="presParOf" srcId="{BAD2E8DC-5AF0-484E-A740-4B2285FBCE52}" destId="{2D5D9639-4CBD-4FC9-A952-EA25187EC4C3}" srcOrd="8" destOrd="0" presId="urn:microsoft.com/office/officeart/2005/8/layout/vProcess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1FBDA9-1C93-479E-92CD-C67015C153BA}">
      <dsp:nvSpPr>
        <dsp:cNvPr id="0" name=""/>
        <dsp:cNvSpPr/>
      </dsp:nvSpPr>
      <dsp:spPr>
        <a:xfrm>
          <a:off x="0" y="0"/>
          <a:ext cx="4444841" cy="83439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l" defTabSz="666750">
            <a:lnSpc>
              <a:spcPct val="90000"/>
            </a:lnSpc>
            <a:spcBef>
              <a:spcPct val="0"/>
            </a:spcBef>
            <a:spcAft>
              <a:spcPct val="35000"/>
            </a:spcAft>
            <a:buNone/>
          </a:pPr>
          <a:r>
            <a:rPr lang="en-GB" sz="1500" b="1" kern="1200"/>
            <a:t>Behavioural risk factors: </a:t>
          </a:r>
          <a:r>
            <a:rPr lang="en-GB" sz="1500" b="0" kern="1200"/>
            <a:t>Tobacco, Alcohol, Physical inactivity and Nutrition</a:t>
          </a:r>
        </a:p>
      </dsp:txBody>
      <dsp:txXfrm>
        <a:off x="24438" y="24438"/>
        <a:ext cx="3544470" cy="785514"/>
      </dsp:txXfrm>
    </dsp:sp>
    <dsp:sp modelId="{7DD81090-12CC-47EE-9002-90FFC4F9C92F}">
      <dsp:nvSpPr>
        <dsp:cNvPr id="0" name=""/>
        <dsp:cNvSpPr/>
      </dsp:nvSpPr>
      <dsp:spPr>
        <a:xfrm>
          <a:off x="392191" y="973455"/>
          <a:ext cx="4444841" cy="83439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l" defTabSz="666750">
            <a:lnSpc>
              <a:spcPct val="90000"/>
            </a:lnSpc>
            <a:spcBef>
              <a:spcPct val="0"/>
            </a:spcBef>
            <a:spcAft>
              <a:spcPct val="35000"/>
            </a:spcAft>
            <a:buNone/>
          </a:pPr>
          <a:r>
            <a:rPr lang="en-GB" sz="1500" b="1" kern="1200"/>
            <a:t>Physiological risk factors: </a:t>
          </a:r>
          <a:r>
            <a:rPr lang="en-GB" sz="1500" kern="1200"/>
            <a:t>Body mass index (BMI), blood pressure, blood glucose and cholesterol levels.</a:t>
          </a:r>
        </a:p>
      </dsp:txBody>
      <dsp:txXfrm>
        <a:off x="416629" y="997893"/>
        <a:ext cx="3461419" cy="785514"/>
      </dsp:txXfrm>
    </dsp:sp>
    <dsp:sp modelId="{CE08751E-D526-4DC9-BF41-E23CEC6F3935}">
      <dsp:nvSpPr>
        <dsp:cNvPr id="0" name=""/>
        <dsp:cNvSpPr/>
      </dsp:nvSpPr>
      <dsp:spPr>
        <a:xfrm>
          <a:off x="784383" y="1946910"/>
          <a:ext cx="4444841" cy="834390"/>
        </a:xfrm>
        <a:prstGeom prst="roundRect">
          <a:avLst>
            <a:gd name="adj" fmla="val 10000"/>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l" defTabSz="666750">
            <a:lnSpc>
              <a:spcPct val="90000"/>
            </a:lnSpc>
            <a:spcBef>
              <a:spcPct val="0"/>
            </a:spcBef>
            <a:spcAft>
              <a:spcPct val="35000"/>
            </a:spcAft>
            <a:buNone/>
          </a:pPr>
          <a:r>
            <a:rPr lang="en-GB" sz="1500" b="1" kern="1200"/>
            <a:t>Disease Outcomes: </a:t>
          </a:r>
          <a:r>
            <a:rPr lang="en-GB" sz="1500" kern="1200"/>
            <a:t>Heart disease, stroke, diabetes mellitus, cancer and renal diseases.</a:t>
          </a:r>
        </a:p>
      </dsp:txBody>
      <dsp:txXfrm>
        <a:off x="808821" y="1971348"/>
        <a:ext cx="3461419" cy="785514"/>
      </dsp:txXfrm>
    </dsp:sp>
    <dsp:sp modelId="{7AC14C40-56FD-43FD-BB69-752EF77751A1}">
      <dsp:nvSpPr>
        <dsp:cNvPr id="0" name=""/>
        <dsp:cNvSpPr/>
      </dsp:nvSpPr>
      <dsp:spPr>
        <a:xfrm>
          <a:off x="3902487" y="632745"/>
          <a:ext cx="542353" cy="542353"/>
        </a:xfrm>
        <a:prstGeom prst="downArrow">
          <a:avLst>
            <a:gd name="adj1" fmla="val 55000"/>
            <a:gd name="adj2" fmla="val 45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1066800">
            <a:lnSpc>
              <a:spcPct val="90000"/>
            </a:lnSpc>
            <a:spcBef>
              <a:spcPct val="0"/>
            </a:spcBef>
            <a:spcAft>
              <a:spcPct val="35000"/>
            </a:spcAft>
            <a:buNone/>
          </a:pPr>
          <a:endParaRPr lang="en-GB" sz="2400" kern="1200"/>
        </a:p>
      </dsp:txBody>
      <dsp:txXfrm>
        <a:off x="4024516" y="632745"/>
        <a:ext cx="298295" cy="408121"/>
      </dsp:txXfrm>
    </dsp:sp>
    <dsp:sp modelId="{192540EC-BB32-4204-AB36-E7D4C81A8C3E}">
      <dsp:nvSpPr>
        <dsp:cNvPr id="0" name=""/>
        <dsp:cNvSpPr/>
      </dsp:nvSpPr>
      <dsp:spPr>
        <a:xfrm>
          <a:off x="4294679" y="1600638"/>
          <a:ext cx="542353" cy="542353"/>
        </a:xfrm>
        <a:prstGeom prst="downArrow">
          <a:avLst>
            <a:gd name="adj1" fmla="val 55000"/>
            <a:gd name="adj2" fmla="val 45000"/>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1066800">
            <a:lnSpc>
              <a:spcPct val="90000"/>
            </a:lnSpc>
            <a:spcBef>
              <a:spcPct val="0"/>
            </a:spcBef>
            <a:spcAft>
              <a:spcPct val="35000"/>
            </a:spcAft>
            <a:buNone/>
          </a:pPr>
          <a:endParaRPr lang="en-GB" sz="2400" kern="1200"/>
        </a:p>
      </dsp:txBody>
      <dsp:txXfrm>
        <a:off x="4416708" y="1600638"/>
        <a:ext cx="298295" cy="408121"/>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TotalTime>
  <Pages>11</Pages>
  <Words>3545</Words>
  <Characters>20207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cheruiyot</dc:creator>
  <cp:keywords/>
  <dc:description/>
  <cp:lastModifiedBy>isaac cheruiyot</cp:lastModifiedBy>
  <cp:revision>2</cp:revision>
  <cp:lastPrinted>2019-12-01T05:21:00Z</cp:lastPrinted>
  <dcterms:created xsi:type="dcterms:W3CDTF">2019-11-30T12:57:00Z</dcterms:created>
  <dcterms:modified xsi:type="dcterms:W3CDTF">2019-12-01T05:22:00Z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id="3iLsQ0OK"/&gt;&lt;style id="http://www.zotero.org/styles/elsevier-harvard" hasBibliography="1" bibliographyStyleHasBeenSet="0"/&gt;&lt;prefs&gt;&lt;pref name="fieldType" value="Field"/&gt;&lt;pref name="automaticJournal</vt:lpwstr>
  </property>
  <property fmtid="{D5CDD505-2E9C-101B-9397-08002B2CF9AE}" pid="3" name="ZOTERO_PREF_2">
    <vt:lpwstr>Abbreviations" value="true"/&gt;&lt;/prefs&gt;&lt;/data&gt;</vt:lpwstr>
  </property>
</Properties>
</file>